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075E1" w14:textId="77777777" w:rsidR="00C02D23" w:rsidRPr="00CD7969" w:rsidRDefault="00C02D23" w:rsidP="00C02D23">
      <w:pPr>
        <w:spacing w:after="0" w:line="360" w:lineRule="auto"/>
        <w:jc w:val="center"/>
        <w:rPr>
          <w:rFonts w:ascii="Times New Roman" w:eastAsia="Times New Roman" w:hAnsi="Times New Roman" w:cs="Times New Roman"/>
          <w:b/>
          <w:sz w:val="24"/>
          <w:szCs w:val="24"/>
          <w:lang w:val="uk-UA" w:eastAsia="ru-RU"/>
        </w:rPr>
      </w:pPr>
    </w:p>
    <w:p w14:paraId="1336E76C" w14:textId="77777777" w:rsidR="00C02D23" w:rsidRPr="00CD7969" w:rsidRDefault="00C02D23" w:rsidP="00C02D23">
      <w:pPr>
        <w:spacing w:after="0" w:line="360" w:lineRule="auto"/>
        <w:rPr>
          <w:rFonts w:ascii="Times New Roman" w:eastAsia="Times New Roman" w:hAnsi="Times New Roman" w:cs="Times New Roman"/>
          <w:sz w:val="24"/>
          <w:szCs w:val="24"/>
          <w:lang w:val="uk-UA" w:eastAsia="ru-RU"/>
        </w:rPr>
      </w:pPr>
    </w:p>
    <w:p w14:paraId="3C58D3EE" w14:textId="77777777" w:rsidR="00C02D23" w:rsidRPr="00CD7969" w:rsidRDefault="00C02D23" w:rsidP="00C02D23">
      <w:pPr>
        <w:spacing w:after="0" w:line="360" w:lineRule="auto"/>
        <w:rPr>
          <w:rFonts w:ascii="Times New Roman" w:eastAsia="Times New Roman" w:hAnsi="Times New Roman" w:cs="Times New Roman"/>
          <w:sz w:val="24"/>
          <w:szCs w:val="24"/>
          <w:lang w:val="uk-UA" w:eastAsia="ru-RU"/>
        </w:rPr>
      </w:pPr>
    </w:p>
    <w:p w14:paraId="36C7260E" w14:textId="77777777" w:rsidR="00C02D23" w:rsidRPr="00CD7969" w:rsidRDefault="00C02D23" w:rsidP="00C02D23">
      <w:pPr>
        <w:spacing w:after="0" w:line="360" w:lineRule="auto"/>
        <w:rPr>
          <w:rFonts w:ascii="Times New Roman" w:eastAsia="Times New Roman" w:hAnsi="Times New Roman" w:cs="Times New Roman"/>
          <w:sz w:val="24"/>
          <w:szCs w:val="24"/>
          <w:lang w:val="uk-UA" w:eastAsia="ru-RU"/>
        </w:rPr>
      </w:pPr>
    </w:p>
    <w:p w14:paraId="110BC3B3" w14:textId="77777777" w:rsidR="00C02D23" w:rsidRPr="00CD7969" w:rsidRDefault="00C02D23" w:rsidP="00C02D23">
      <w:pPr>
        <w:spacing w:after="0" w:line="360" w:lineRule="auto"/>
        <w:jc w:val="center"/>
        <w:rPr>
          <w:rFonts w:ascii="Times New Roman" w:eastAsia="Times New Roman" w:hAnsi="Times New Roman" w:cs="Times New Roman"/>
          <w:b/>
          <w:sz w:val="28"/>
          <w:szCs w:val="28"/>
          <w:lang w:val="uk-UA" w:eastAsia="ru-RU"/>
        </w:rPr>
      </w:pPr>
      <w:r w:rsidRPr="00CD7969">
        <w:rPr>
          <w:rFonts w:ascii="Times New Roman" w:eastAsia="Times New Roman" w:hAnsi="Times New Roman" w:cs="Times New Roman"/>
          <w:b/>
          <w:sz w:val="28"/>
          <w:szCs w:val="28"/>
          <w:lang w:val="uk-UA" w:eastAsia="ru-RU"/>
        </w:rPr>
        <w:t>КУРСОВА РОБОТА</w:t>
      </w:r>
    </w:p>
    <w:p w14:paraId="0B5F70FD" w14:textId="77777777" w:rsidR="00C02D23" w:rsidRPr="007853DE" w:rsidRDefault="00C02D23" w:rsidP="00C02D23">
      <w:pPr>
        <w:spacing w:after="0" w:line="360" w:lineRule="auto"/>
        <w:jc w:val="center"/>
        <w:rPr>
          <w:rFonts w:ascii="Times New Roman" w:eastAsia="Times New Roman" w:hAnsi="Times New Roman" w:cs="Times New Roman"/>
          <w:b/>
          <w:sz w:val="28"/>
          <w:szCs w:val="28"/>
          <w:lang w:val="uk-UA" w:eastAsia="ru-RU"/>
        </w:rPr>
      </w:pPr>
      <w:r w:rsidRPr="007853DE">
        <w:rPr>
          <w:rFonts w:ascii="Times New Roman" w:eastAsia="Times New Roman" w:hAnsi="Times New Roman" w:cs="Times New Roman"/>
          <w:b/>
          <w:sz w:val="28"/>
          <w:szCs w:val="28"/>
          <w:lang w:val="uk-UA" w:eastAsia="ru-RU"/>
        </w:rPr>
        <w:t>на тему:</w:t>
      </w:r>
    </w:p>
    <w:p w14:paraId="677E4DE9" w14:textId="77777777" w:rsidR="00C02D23" w:rsidRPr="00CD7969" w:rsidRDefault="00C02D23" w:rsidP="00C02D23">
      <w:pPr>
        <w:spacing w:after="0" w:line="360" w:lineRule="auto"/>
        <w:jc w:val="center"/>
        <w:rPr>
          <w:rFonts w:ascii="Times New Roman" w:eastAsia="Times New Roman" w:hAnsi="Times New Roman" w:cs="Times New Roman"/>
          <w:b/>
          <w:caps/>
          <w:sz w:val="28"/>
          <w:szCs w:val="28"/>
          <w:lang w:val="uk-UA" w:eastAsia="ru-RU"/>
        </w:rPr>
      </w:pPr>
      <w:r w:rsidRPr="00CD7969">
        <w:rPr>
          <w:rFonts w:ascii="Times New Roman" w:eastAsia="Times New Roman" w:hAnsi="Times New Roman" w:cs="Times New Roman"/>
          <w:b/>
          <w:caps/>
          <w:sz w:val="28"/>
          <w:szCs w:val="28"/>
          <w:lang w:val="uk-UA" w:eastAsia="ru-RU"/>
        </w:rPr>
        <w:t>«</w:t>
      </w:r>
      <w:r>
        <w:rPr>
          <w:rFonts w:ascii="Times New Roman" w:eastAsia="Times New Roman" w:hAnsi="Times New Roman" w:cs="Times New Roman"/>
          <w:b/>
          <w:caps/>
          <w:sz w:val="28"/>
          <w:szCs w:val="28"/>
          <w:lang w:val="uk-UA" w:eastAsia="ru-RU"/>
        </w:rPr>
        <w:t>ТЕОРЕТИЧНІ ЗАСАДИ МЕХАНІЗМУ ФІНАНСУВАННЯ ІННОВАЦІЙНОЇ ДІЯЛЬНОСТІ ПІДПРИЄМСТВА</w:t>
      </w:r>
      <w:r w:rsidRPr="00CD7969">
        <w:rPr>
          <w:rFonts w:ascii="Times New Roman" w:eastAsia="Times New Roman" w:hAnsi="Times New Roman" w:cs="Times New Roman"/>
          <w:b/>
          <w:caps/>
          <w:sz w:val="28"/>
          <w:szCs w:val="28"/>
          <w:lang w:val="uk-UA" w:eastAsia="ru-RU"/>
        </w:rPr>
        <w:t>»</w:t>
      </w:r>
    </w:p>
    <w:p w14:paraId="737FBFBB" w14:textId="77777777" w:rsidR="00C02D23" w:rsidRDefault="00C02D23" w:rsidP="00C02D23">
      <w:pPr>
        <w:spacing w:after="0" w:line="360" w:lineRule="auto"/>
        <w:rPr>
          <w:rFonts w:ascii="Times New Roman" w:eastAsia="Times New Roman" w:hAnsi="Times New Roman" w:cs="Times New Roman"/>
          <w:b/>
          <w:sz w:val="28"/>
          <w:szCs w:val="28"/>
          <w:lang w:val="uk-UA" w:eastAsia="ru-RU"/>
        </w:rPr>
      </w:pPr>
    </w:p>
    <w:p w14:paraId="06EB4BD8" w14:textId="77777777" w:rsidR="00B14A41" w:rsidRDefault="00B14A41" w:rsidP="00C02D23">
      <w:pPr>
        <w:spacing w:after="0" w:line="360" w:lineRule="auto"/>
        <w:rPr>
          <w:rFonts w:ascii="Times New Roman" w:eastAsia="Times New Roman" w:hAnsi="Times New Roman" w:cs="Times New Roman"/>
          <w:b/>
          <w:sz w:val="28"/>
          <w:szCs w:val="28"/>
          <w:lang w:val="uk-UA" w:eastAsia="ru-RU"/>
        </w:rPr>
      </w:pPr>
    </w:p>
    <w:p w14:paraId="0563F74D" w14:textId="77777777" w:rsidR="00C02D23" w:rsidRDefault="00C02D23" w:rsidP="00C02D23">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6"/>
        <w:gridCol w:w="655"/>
      </w:tblGrid>
      <w:tr w:rsidR="00C02D23" w:rsidRPr="00C02D23" w14:paraId="73EB567D" w14:textId="77777777" w:rsidTr="00EA00C9">
        <w:tc>
          <w:tcPr>
            <w:tcW w:w="8916" w:type="dxa"/>
          </w:tcPr>
          <w:p w14:paraId="6712EEA1"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Вступ</w:t>
            </w:r>
          </w:p>
        </w:tc>
        <w:tc>
          <w:tcPr>
            <w:tcW w:w="655" w:type="dxa"/>
          </w:tcPr>
          <w:p w14:paraId="5C599664" w14:textId="77777777" w:rsidR="00C02D23" w:rsidRPr="00C02D23" w:rsidRDefault="00EA00C9" w:rsidP="00C02D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C02D23" w:rsidRPr="00C02D23" w14:paraId="50F1D122" w14:textId="77777777" w:rsidTr="00EA00C9">
        <w:tc>
          <w:tcPr>
            <w:tcW w:w="8916" w:type="dxa"/>
          </w:tcPr>
          <w:p w14:paraId="2661E349"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 xml:space="preserve">Розділ 1. Економічна сутність механізму фінансування інноваційної діяльності підприємства.  </w:t>
            </w:r>
          </w:p>
        </w:tc>
        <w:tc>
          <w:tcPr>
            <w:tcW w:w="655" w:type="dxa"/>
          </w:tcPr>
          <w:p w14:paraId="14593453" w14:textId="77777777" w:rsidR="00C02D23" w:rsidRDefault="00C02D23" w:rsidP="00BB6964">
            <w:pPr>
              <w:spacing w:line="360" w:lineRule="auto"/>
              <w:jc w:val="both"/>
              <w:rPr>
                <w:rFonts w:ascii="Times New Roman" w:hAnsi="Times New Roman" w:cs="Times New Roman"/>
                <w:sz w:val="28"/>
                <w:szCs w:val="28"/>
                <w:lang w:val="uk-UA"/>
              </w:rPr>
            </w:pPr>
          </w:p>
          <w:p w14:paraId="3D390E99" w14:textId="77777777" w:rsidR="00EA00C9" w:rsidRPr="00C02D23" w:rsidRDefault="00EA00C9" w:rsidP="00BB696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C02D23" w:rsidRPr="00C02D23" w14:paraId="4A568F5B" w14:textId="77777777" w:rsidTr="00EA00C9">
        <w:tc>
          <w:tcPr>
            <w:tcW w:w="8916" w:type="dxa"/>
          </w:tcPr>
          <w:p w14:paraId="67F0DF1D"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 xml:space="preserve">Розділ 2. Оцінка джерел фінансування інноваційної діяльності підприємств в Україні. </w:t>
            </w:r>
          </w:p>
        </w:tc>
        <w:tc>
          <w:tcPr>
            <w:tcW w:w="655" w:type="dxa"/>
          </w:tcPr>
          <w:p w14:paraId="1EAC4C9B" w14:textId="77777777" w:rsidR="00C02D23" w:rsidRDefault="00C02D23" w:rsidP="00BB6964">
            <w:pPr>
              <w:spacing w:line="360" w:lineRule="auto"/>
              <w:jc w:val="both"/>
              <w:rPr>
                <w:rFonts w:ascii="Times New Roman" w:hAnsi="Times New Roman" w:cs="Times New Roman"/>
                <w:sz w:val="28"/>
                <w:szCs w:val="28"/>
                <w:lang w:val="uk-UA"/>
              </w:rPr>
            </w:pPr>
          </w:p>
          <w:p w14:paraId="53038D74" w14:textId="2DE9F601" w:rsidR="00EA00C9" w:rsidRPr="00C02D23" w:rsidRDefault="00F05235" w:rsidP="00BB696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C02D23" w:rsidRPr="00C02D23" w14:paraId="5C05CE5F" w14:textId="77777777" w:rsidTr="00EA00C9">
        <w:tc>
          <w:tcPr>
            <w:tcW w:w="8916" w:type="dxa"/>
          </w:tcPr>
          <w:p w14:paraId="75C66554"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Розділ 3. Концепція удосконалення механізму фінансування інноваційної діяльності підприємства</w:t>
            </w:r>
          </w:p>
        </w:tc>
        <w:tc>
          <w:tcPr>
            <w:tcW w:w="655" w:type="dxa"/>
          </w:tcPr>
          <w:p w14:paraId="572A4E76" w14:textId="77777777" w:rsidR="00C02D23" w:rsidRDefault="00C02D23" w:rsidP="00BB6964">
            <w:pPr>
              <w:spacing w:line="360" w:lineRule="auto"/>
              <w:jc w:val="both"/>
              <w:rPr>
                <w:rFonts w:ascii="Times New Roman" w:hAnsi="Times New Roman" w:cs="Times New Roman"/>
                <w:sz w:val="28"/>
                <w:szCs w:val="28"/>
                <w:lang w:val="uk-UA"/>
              </w:rPr>
            </w:pPr>
          </w:p>
          <w:p w14:paraId="0D10E3F4" w14:textId="2A2919B2" w:rsidR="00EA00C9" w:rsidRPr="00C02D23" w:rsidRDefault="00F05235" w:rsidP="00BB696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C02D23" w:rsidRPr="00C02D23" w14:paraId="0DCFD74D" w14:textId="77777777" w:rsidTr="00EA00C9">
        <w:tc>
          <w:tcPr>
            <w:tcW w:w="8916" w:type="dxa"/>
          </w:tcPr>
          <w:p w14:paraId="65CAFE55"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Висновки</w:t>
            </w:r>
          </w:p>
        </w:tc>
        <w:tc>
          <w:tcPr>
            <w:tcW w:w="655" w:type="dxa"/>
          </w:tcPr>
          <w:p w14:paraId="378BEB54" w14:textId="2A4C6E89" w:rsidR="00C02D23" w:rsidRPr="00C02D23" w:rsidRDefault="00EA00C9" w:rsidP="00B14A4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05235">
              <w:rPr>
                <w:rFonts w:ascii="Times New Roman" w:hAnsi="Times New Roman" w:cs="Times New Roman"/>
                <w:sz w:val="28"/>
                <w:szCs w:val="28"/>
                <w:lang w:val="uk-UA"/>
              </w:rPr>
              <w:t>7</w:t>
            </w:r>
          </w:p>
        </w:tc>
      </w:tr>
      <w:tr w:rsidR="00C02D23" w:rsidRPr="00C02D23" w14:paraId="7ED595F1" w14:textId="77777777" w:rsidTr="00EA00C9">
        <w:trPr>
          <w:trHeight w:val="624"/>
        </w:trPr>
        <w:tc>
          <w:tcPr>
            <w:tcW w:w="8916" w:type="dxa"/>
          </w:tcPr>
          <w:p w14:paraId="79835A05" w14:textId="77777777" w:rsidR="00C02D23" w:rsidRPr="00C02D23" w:rsidRDefault="00C02D23" w:rsidP="00BB6964">
            <w:pPr>
              <w:spacing w:line="360" w:lineRule="auto"/>
              <w:jc w:val="both"/>
              <w:rPr>
                <w:rFonts w:ascii="Times New Roman" w:hAnsi="Times New Roman" w:cs="Times New Roman"/>
                <w:sz w:val="28"/>
                <w:szCs w:val="28"/>
                <w:lang w:val="uk-UA"/>
              </w:rPr>
            </w:pPr>
            <w:r w:rsidRPr="00C02D23">
              <w:rPr>
                <w:rFonts w:ascii="Times New Roman" w:hAnsi="Times New Roman" w:cs="Times New Roman"/>
                <w:sz w:val="28"/>
                <w:szCs w:val="28"/>
                <w:lang w:val="uk-UA"/>
              </w:rPr>
              <w:t>Список використаних джерел</w:t>
            </w:r>
          </w:p>
        </w:tc>
        <w:tc>
          <w:tcPr>
            <w:tcW w:w="655" w:type="dxa"/>
          </w:tcPr>
          <w:p w14:paraId="3F2162BC" w14:textId="5363AFDD" w:rsidR="00EA00C9" w:rsidRPr="00C02D23" w:rsidRDefault="00F05235" w:rsidP="00C02D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r>
    </w:tbl>
    <w:p w14:paraId="552489DE" w14:textId="77777777" w:rsidR="00C02D23" w:rsidRPr="00C02D23" w:rsidRDefault="00C02D23" w:rsidP="00C02D23">
      <w:pPr>
        <w:rPr>
          <w:lang w:val="uk-UA"/>
        </w:rPr>
      </w:pPr>
    </w:p>
    <w:p w14:paraId="75C9FE89" w14:textId="77777777" w:rsidR="00C02D23" w:rsidRPr="00C02D23" w:rsidRDefault="00C02D23" w:rsidP="00C02D23">
      <w:pPr>
        <w:rPr>
          <w:lang w:val="uk-UA"/>
        </w:rPr>
      </w:pPr>
    </w:p>
    <w:p w14:paraId="6136B565" w14:textId="77777777" w:rsidR="00C02D23" w:rsidRPr="00C02D23" w:rsidRDefault="00C02D23" w:rsidP="00C02D23">
      <w:pPr>
        <w:rPr>
          <w:lang w:val="uk-UA"/>
        </w:rPr>
      </w:pPr>
    </w:p>
    <w:p w14:paraId="0AD9C5A0" w14:textId="77777777" w:rsidR="00C02D23" w:rsidRPr="00C02D23" w:rsidRDefault="00C02D23" w:rsidP="00C02D23">
      <w:pPr>
        <w:rPr>
          <w:lang w:val="uk-UA"/>
        </w:rPr>
      </w:pPr>
    </w:p>
    <w:p w14:paraId="5F7F4E1C" w14:textId="77777777" w:rsidR="00C02D23" w:rsidRPr="00C02D23" w:rsidRDefault="00C02D23" w:rsidP="00C02D23">
      <w:pPr>
        <w:rPr>
          <w:lang w:val="uk-UA"/>
        </w:rPr>
      </w:pPr>
    </w:p>
    <w:p w14:paraId="31E470D9" w14:textId="77777777" w:rsidR="00C02D23" w:rsidRDefault="00C02D23" w:rsidP="00C02D23">
      <w:pPr>
        <w:tabs>
          <w:tab w:val="left" w:pos="4044"/>
        </w:tabs>
        <w:jc w:val="center"/>
        <w:rPr>
          <w:lang w:val="uk-UA"/>
        </w:rPr>
      </w:pPr>
    </w:p>
    <w:p w14:paraId="23CA0528" w14:textId="77777777" w:rsidR="00C02D23" w:rsidRDefault="00C02D23" w:rsidP="00C02D23">
      <w:pPr>
        <w:tabs>
          <w:tab w:val="left" w:pos="4044"/>
        </w:tabs>
        <w:jc w:val="center"/>
        <w:rPr>
          <w:lang w:val="uk-UA"/>
        </w:rPr>
      </w:pPr>
    </w:p>
    <w:p w14:paraId="18349E95" w14:textId="77777777" w:rsidR="00C02D23" w:rsidRDefault="00C02D23" w:rsidP="00C02D23">
      <w:pPr>
        <w:tabs>
          <w:tab w:val="left" w:pos="4044"/>
        </w:tabs>
        <w:jc w:val="center"/>
        <w:rPr>
          <w:lang w:val="uk-UA"/>
        </w:rPr>
      </w:pPr>
    </w:p>
    <w:p w14:paraId="35B485CF" w14:textId="77777777" w:rsidR="00C02D23" w:rsidRDefault="00C02D23" w:rsidP="00C02D23">
      <w:pPr>
        <w:tabs>
          <w:tab w:val="left" w:pos="4044"/>
        </w:tabs>
        <w:jc w:val="center"/>
        <w:rPr>
          <w:lang w:val="uk-UA"/>
        </w:rPr>
      </w:pPr>
    </w:p>
    <w:p w14:paraId="697E1B35" w14:textId="77777777" w:rsidR="00C02D23" w:rsidRDefault="00C02D23" w:rsidP="00C02D23">
      <w:pPr>
        <w:tabs>
          <w:tab w:val="left" w:pos="4044"/>
        </w:tabs>
        <w:jc w:val="center"/>
        <w:rPr>
          <w:lang w:val="uk-UA"/>
        </w:rPr>
      </w:pPr>
    </w:p>
    <w:p w14:paraId="36D42F1F" w14:textId="77777777" w:rsidR="00F91F75" w:rsidRDefault="00F91F75" w:rsidP="00C02D23">
      <w:pPr>
        <w:tabs>
          <w:tab w:val="left" w:pos="4044"/>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052084EB" w14:textId="77777777" w:rsidR="00A2296A" w:rsidRDefault="00F91F75" w:rsidP="00F91F75">
      <w:pPr>
        <w:pStyle w:val="a6"/>
        <w:spacing w:before="0" w:beforeAutospacing="0" w:after="0" w:afterAutospacing="0" w:line="360" w:lineRule="auto"/>
        <w:ind w:firstLine="709"/>
        <w:jc w:val="both"/>
        <w:rPr>
          <w:sz w:val="28"/>
          <w:szCs w:val="28"/>
          <w:lang w:val="uk-UA"/>
        </w:rPr>
      </w:pPr>
      <w:r w:rsidRPr="00F91F75">
        <w:rPr>
          <w:b/>
          <w:sz w:val="28"/>
          <w:szCs w:val="28"/>
          <w:lang w:val="uk-UA"/>
        </w:rPr>
        <w:t>Актуальність теми дослідження.</w:t>
      </w:r>
      <w:r w:rsidRPr="00F91F75">
        <w:rPr>
          <w:sz w:val="28"/>
          <w:szCs w:val="28"/>
          <w:lang w:val="uk-UA"/>
        </w:rPr>
        <w:t xml:space="preserve"> В умовах глобалізації та швидкого технологічного прогресу інноваційна діяльність є </w:t>
      </w:r>
      <w:r w:rsidR="00A2296A">
        <w:rPr>
          <w:sz w:val="28"/>
          <w:szCs w:val="28"/>
          <w:lang w:val="uk-UA"/>
        </w:rPr>
        <w:t xml:space="preserve">важливим </w:t>
      </w:r>
      <w:r w:rsidRPr="00F91F75">
        <w:rPr>
          <w:sz w:val="28"/>
          <w:szCs w:val="28"/>
          <w:lang w:val="uk-UA"/>
        </w:rPr>
        <w:t xml:space="preserve">фактором конкурентоспроможності підприємств. </w:t>
      </w:r>
    </w:p>
    <w:p w14:paraId="4B97D7E1" w14:textId="77777777" w:rsidR="00A2296A" w:rsidRDefault="00F91F75" w:rsidP="00F91F75">
      <w:pPr>
        <w:pStyle w:val="a6"/>
        <w:spacing w:before="0" w:beforeAutospacing="0" w:after="0" w:afterAutospacing="0" w:line="360" w:lineRule="auto"/>
        <w:ind w:firstLine="709"/>
        <w:jc w:val="both"/>
        <w:rPr>
          <w:sz w:val="28"/>
          <w:szCs w:val="28"/>
          <w:lang w:val="uk-UA"/>
        </w:rPr>
      </w:pPr>
      <w:r w:rsidRPr="00F91F75">
        <w:rPr>
          <w:sz w:val="28"/>
          <w:szCs w:val="28"/>
        </w:rPr>
        <w:t>Ефективне фінансування інновацій визначає здатність компаній адаптуватися до змін ринкового середовища, впроваджувати нові технології та забезпечувати сталий розвиток.</w:t>
      </w:r>
    </w:p>
    <w:p w14:paraId="1B41A889" w14:textId="77777777" w:rsidR="00F91F75" w:rsidRPr="007853DE" w:rsidRDefault="00F91F75" w:rsidP="00F91F75">
      <w:pPr>
        <w:pStyle w:val="a6"/>
        <w:spacing w:before="0" w:beforeAutospacing="0" w:after="0" w:afterAutospacing="0" w:line="360" w:lineRule="auto"/>
        <w:ind w:firstLine="709"/>
        <w:jc w:val="both"/>
        <w:rPr>
          <w:sz w:val="28"/>
          <w:szCs w:val="28"/>
          <w:lang w:val="uk-UA"/>
        </w:rPr>
      </w:pPr>
      <w:r w:rsidRPr="00A2296A">
        <w:rPr>
          <w:sz w:val="28"/>
          <w:szCs w:val="28"/>
          <w:lang w:val="uk-UA"/>
        </w:rPr>
        <w:t xml:space="preserve"> В Україні, де економіка стикається з обмеженими фінансовими ресурсами та нестабільними умовами, формування дієвого механізму фінансування інноваційної діяльності набуває особливої актуальності. Недостатній рівень інвестицій, обмежений доступ до капіталу та слабка інтеграція між науковими установами й бізнесом гальмують інноваційний розвиток вітчизняних підприємств. </w:t>
      </w:r>
      <w:r w:rsidRPr="007853DE">
        <w:rPr>
          <w:sz w:val="28"/>
          <w:szCs w:val="28"/>
          <w:lang w:val="uk-UA"/>
        </w:rPr>
        <w:t>Таким чином, розробка ефективних механізмів фінансування інноваційної діяльності є необхідною умовою для забезпечення економічного зростання та модернізації підприємств.</w:t>
      </w:r>
    </w:p>
    <w:p w14:paraId="40EB426C" w14:textId="77777777" w:rsidR="00A2296A" w:rsidRDefault="00F91F75" w:rsidP="00F91F75">
      <w:pPr>
        <w:pStyle w:val="a6"/>
        <w:spacing w:before="0" w:beforeAutospacing="0" w:after="0" w:afterAutospacing="0" w:line="360" w:lineRule="auto"/>
        <w:ind w:firstLine="709"/>
        <w:jc w:val="both"/>
        <w:rPr>
          <w:sz w:val="28"/>
          <w:szCs w:val="28"/>
          <w:lang w:val="uk-UA"/>
        </w:rPr>
      </w:pPr>
      <w:r w:rsidRPr="00A2296A">
        <w:rPr>
          <w:b/>
          <w:sz w:val="28"/>
          <w:szCs w:val="28"/>
        </w:rPr>
        <w:t>Аналіз останніх досліджень і публікацій.</w:t>
      </w:r>
      <w:r w:rsidRPr="00F91F75">
        <w:rPr>
          <w:sz w:val="28"/>
          <w:szCs w:val="28"/>
        </w:rPr>
        <w:t xml:space="preserve"> Питання фінансування інноваційної діяльності досліджували такі вчені, як Айсулу А. [2], Басюркіна Н. [3], Газуда Л. [4</w:t>
      </w:r>
      <w:r w:rsidR="00A2296A">
        <w:rPr>
          <w:sz w:val="28"/>
          <w:szCs w:val="28"/>
        </w:rPr>
        <w:t>], Гнатківський Б. [5], Гук О.</w:t>
      </w:r>
      <w:r w:rsidRPr="00F91F75">
        <w:rPr>
          <w:sz w:val="28"/>
          <w:szCs w:val="28"/>
        </w:rPr>
        <w:t xml:space="preserve"> [6], Де</w:t>
      </w:r>
      <w:r w:rsidR="00A2296A">
        <w:rPr>
          <w:sz w:val="28"/>
          <w:szCs w:val="28"/>
        </w:rPr>
        <w:t>м’яненко Т. [7], Дорошкевич К.</w:t>
      </w:r>
      <w:r w:rsidRPr="00F91F75">
        <w:rPr>
          <w:sz w:val="28"/>
          <w:szCs w:val="28"/>
        </w:rPr>
        <w:t xml:space="preserve"> [9</w:t>
      </w:r>
      <w:r w:rsidR="00A2296A">
        <w:rPr>
          <w:sz w:val="28"/>
          <w:szCs w:val="28"/>
        </w:rPr>
        <w:t>], Зельдіна О. [10], Зянько В. [11], Іванов С.</w:t>
      </w:r>
      <w:r w:rsidR="00A2296A">
        <w:rPr>
          <w:sz w:val="28"/>
          <w:szCs w:val="28"/>
          <w:lang w:val="uk-UA"/>
        </w:rPr>
        <w:t xml:space="preserve"> </w:t>
      </w:r>
      <w:r w:rsidRPr="00F91F75">
        <w:rPr>
          <w:sz w:val="28"/>
          <w:szCs w:val="28"/>
        </w:rPr>
        <w:t>[12]</w:t>
      </w:r>
      <w:r w:rsidR="00A2296A">
        <w:rPr>
          <w:sz w:val="28"/>
          <w:szCs w:val="28"/>
        </w:rPr>
        <w:t>, Кіщак І. [15], Коваленко О.</w:t>
      </w:r>
      <w:r w:rsidR="00A2296A">
        <w:rPr>
          <w:sz w:val="28"/>
          <w:szCs w:val="28"/>
          <w:lang w:val="uk-UA"/>
        </w:rPr>
        <w:t xml:space="preserve"> </w:t>
      </w:r>
      <w:r w:rsidR="00A2296A">
        <w:rPr>
          <w:sz w:val="28"/>
          <w:szCs w:val="28"/>
        </w:rPr>
        <w:t>[16], Лупак Р.</w:t>
      </w:r>
      <w:r w:rsidR="00A2296A">
        <w:rPr>
          <w:sz w:val="28"/>
          <w:szCs w:val="28"/>
          <w:lang w:val="uk-UA"/>
        </w:rPr>
        <w:t xml:space="preserve"> </w:t>
      </w:r>
      <w:r w:rsidR="00A2296A">
        <w:rPr>
          <w:sz w:val="28"/>
          <w:szCs w:val="28"/>
        </w:rPr>
        <w:t>[19], Пушкар О.</w:t>
      </w:r>
      <w:r w:rsidR="00A2296A">
        <w:rPr>
          <w:sz w:val="28"/>
          <w:szCs w:val="28"/>
          <w:lang w:val="uk-UA"/>
        </w:rPr>
        <w:t xml:space="preserve"> </w:t>
      </w:r>
      <w:r w:rsidRPr="00F91F75">
        <w:rPr>
          <w:sz w:val="28"/>
          <w:szCs w:val="28"/>
        </w:rPr>
        <w:t xml:space="preserve">[25], </w:t>
      </w:r>
      <w:r w:rsidR="00A2296A">
        <w:rPr>
          <w:sz w:val="28"/>
          <w:szCs w:val="28"/>
        </w:rPr>
        <w:t>Романюк І. [26], Степаненко С.</w:t>
      </w:r>
      <w:r w:rsidR="00A2296A">
        <w:rPr>
          <w:sz w:val="28"/>
          <w:szCs w:val="28"/>
          <w:lang w:val="uk-UA"/>
        </w:rPr>
        <w:t xml:space="preserve"> </w:t>
      </w:r>
      <w:r w:rsidR="00A2296A">
        <w:rPr>
          <w:sz w:val="28"/>
          <w:szCs w:val="28"/>
        </w:rPr>
        <w:t xml:space="preserve"> [28], Тітенко З.</w:t>
      </w:r>
      <w:r w:rsidR="00A2296A">
        <w:rPr>
          <w:sz w:val="28"/>
          <w:szCs w:val="28"/>
          <w:lang w:val="uk-UA"/>
        </w:rPr>
        <w:t xml:space="preserve"> </w:t>
      </w:r>
      <w:r w:rsidR="00A2296A">
        <w:rPr>
          <w:sz w:val="28"/>
          <w:szCs w:val="28"/>
        </w:rPr>
        <w:t>[30], Толстова А.</w:t>
      </w:r>
      <w:r w:rsidR="00A2296A">
        <w:rPr>
          <w:sz w:val="28"/>
          <w:szCs w:val="28"/>
          <w:lang w:val="uk-UA"/>
        </w:rPr>
        <w:t xml:space="preserve"> </w:t>
      </w:r>
      <w:r w:rsidR="00A2296A">
        <w:rPr>
          <w:sz w:val="28"/>
          <w:szCs w:val="28"/>
        </w:rPr>
        <w:t>[31], Хоменко І.</w:t>
      </w:r>
      <w:r w:rsidR="00A2296A">
        <w:rPr>
          <w:sz w:val="28"/>
          <w:szCs w:val="28"/>
          <w:lang w:val="uk-UA"/>
        </w:rPr>
        <w:t xml:space="preserve"> </w:t>
      </w:r>
      <w:r w:rsidR="00A2296A">
        <w:rPr>
          <w:sz w:val="28"/>
          <w:szCs w:val="28"/>
        </w:rPr>
        <w:t xml:space="preserve"> [32]. </w:t>
      </w:r>
    </w:p>
    <w:p w14:paraId="1C5FFAFC" w14:textId="77777777" w:rsidR="00A2296A" w:rsidRDefault="00B14A41" w:rsidP="00F91F75">
      <w:pPr>
        <w:pStyle w:val="a6"/>
        <w:spacing w:before="0" w:beforeAutospacing="0" w:after="0" w:afterAutospacing="0" w:line="360" w:lineRule="auto"/>
        <w:ind w:firstLine="709"/>
        <w:jc w:val="both"/>
        <w:rPr>
          <w:sz w:val="28"/>
          <w:szCs w:val="28"/>
          <w:lang w:val="uk-UA"/>
        </w:rPr>
      </w:pPr>
      <w:r>
        <w:rPr>
          <w:sz w:val="28"/>
          <w:szCs w:val="28"/>
          <w:lang w:val="uk-UA"/>
        </w:rPr>
        <w:t>Зокрема</w:t>
      </w:r>
      <w:r w:rsidR="00A2296A">
        <w:rPr>
          <w:sz w:val="28"/>
          <w:szCs w:val="28"/>
          <w:lang w:val="uk-UA"/>
        </w:rPr>
        <w:t>, Айсулу А. [2</w:t>
      </w:r>
      <w:r w:rsidR="00F91F75" w:rsidRPr="00A2296A">
        <w:rPr>
          <w:sz w:val="28"/>
          <w:szCs w:val="28"/>
          <w:lang w:val="uk-UA"/>
        </w:rPr>
        <w:t>] проаналізувала теоретичні аспекти фінансового забезпечення інноваційного</w:t>
      </w:r>
      <w:r w:rsidR="00A2296A">
        <w:rPr>
          <w:sz w:val="28"/>
          <w:szCs w:val="28"/>
          <w:lang w:val="uk-UA"/>
        </w:rPr>
        <w:t xml:space="preserve"> розвитку, а Гнатківський Б. [5</w:t>
      </w:r>
      <w:r w:rsidR="00F91F75" w:rsidRPr="00A2296A">
        <w:rPr>
          <w:sz w:val="28"/>
          <w:szCs w:val="28"/>
          <w:lang w:val="uk-UA"/>
        </w:rPr>
        <w:t xml:space="preserve">] акцентував увагу на тенденціях і джерелах фінансування інновацій в Україні. </w:t>
      </w:r>
    </w:p>
    <w:p w14:paraId="292C4F8B" w14:textId="77777777" w:rsidR="00F91F75" w:rsidRPr="00A2296A" w:rsidRDefault="00F91F75" w:rsidP="00F91F75">
      <w:pPr>
        <w:pStyle w:val="a6"/>
        <w:spacing w:before="0" w:beforeAutospacing="0" w:after="0" w:afterAutospacing="0" w:line="360" w:lineRule="auto"/>
        <w:ind w:firstLine="709"/>
        <w:jc w:val="both"/>
        <w:rPr>
          <w:sz w:val="28"/>
          <w:szCs w:val="28"/>
          <w:lang w:val="uk-UA"/>
        </w:rPr>
      </w:pPr>
      <w:r w:rsidRPr="00A2296A">
        <w:rPr>
          <w:sz w:val="28"/>
          <w:szCs w:val="28"/>
          <w:lang w:val="uk-UA"/>
        </w:rPr>
        <w:t>Водночас багато аспектів, пов’язаних із удосконаленням механізмів фінансування, залишаються недостатньо розробленими, що зумовлює необхідність подальших досліджень.</w:t>
      </w:r>
    </w:p>
    <w:p w14:paraId="23F4519A" w14:textId="5684ACA5" w:rsidR="00F91F75" w:rsidRPr="000B236B"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t>Об</w:t>
      </w:r>
      <w:r w:rsidR="001A67D2" w:rsidRPr="000B236B">
        <w:rPr>
          <w:b/>
          <w:sz w:val="28"/>
          <w:szCs w:val="28"/>
          <w:lang w:val="uk-UA"/>
        </w:rPr>
        <w:t>’</w:t>
      </w:r>
      <w:r w:rsidRPr="000B236B">
        <w:rPr>
          <w:b/>
          <w:sz w:val="28"/>
          <w:szCs w:val="28"/>
          <w:lang w:val="uk-UA"/>
        </w:rPr>
        <w:t xml:space="preserve">єкт </w:t>
      </w:r>
      <w:r w:rsidR="00934733" w:rsidRPr="000B236B">
        <w:rPr>
          <w:b/>
          <w:sz w:val="28"/>
          <w:szCs w:val="28"/>
          <w:lang w:val="uk-UA"/>
        </w:rPr>
        <w:t>дослідження</w:t>
      </w:r>
      <w:r w:rsidRPr="000B236B">
        <w:rPr>
          <w:sz w:val="28"/>
          <w:szCs w:val="28"/>
          <w:lang w:val="uk-UA"/>
        </w:rPr>
        <w:t xml:space="preserve"> – </w:t>
      </w:r>
      <w:r w:rsidR="00934733" w:rsidRPr="000B236B">
        <w:rPr>
          <w:sz w:val="28"/>
          <w:szCs w:val="28"/>
          <w:lang w:val="uk-UA"/>
        </w:rPr>
        <w:t>процес</w:t>
      </w:r>
      <w:r w:rsidRPr="000B236B">
        <w:rPr>
          <w:sz w:val="28"/>
          <w:szCs w:val="28"/>
          <w:lang w:val="uk-UA"/>
        </w:rPr>
        <w:t xml:space="preserve"> фінансування інноваційної діяльності підприємства.</w:t>
      </w:r>
    </w:p>
    <w:p w14:paraId="6EEB4D12" w14:textId="752FB493" w:rsidR="00F91F75" w:rsidRPr="000B236B"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lastRenderedPageBreak/>
        <w:t xml:space="preserve">Предмет </w:t>
      </w:r>
      <w:r w:rsidR="00BD68AF" w:rsidRPr="000B236B">
        <w:rPr>
          <w:b/>
          <w:sz w:val="28"/>
          <w:szCs w:val="28"/>
          <w:lang w:val="uk-UA"/>
        </w:rPr>
        <w:t>дослідження</w:t>
      </w:r>
      <w:r w:rsidRPr="000B236B">
        <w:rPr>
          <w:sz w:val="28"/>
          <w:szCs w:val="28"/>
          <w:lang w:val="uk-UA"/>
        </w:rPr>
        <w:t xml:space="preserve"> – </w:t>
      </w:r>
      <w:r w:rsidR="00BD68AF" w:rsidRPr="000B236B">
        <w:rPr>
          <w:sz w:val="28"/>
          <w:szCs w:val="28"/>
          <w:lang w:val="uk-UA"/>
        </w:rPr>
        <w:t>методи і моделі</w:t>
      </w:r>
      <w:r w:rsidRPr="000B236B">
        <w:rPr>
          <w:sz w:val="28"/>
          <w:szCs w:val="28"/>
          <w:lang w:val="uk-UA"/>
        </w:rPr>
        <w:t xml:space="preserve"> механізму фінансування інноваційної діяльності підприємства в Україні.</w:t>
      </w:r>
    </w:p>
    <w:p w14:paraId="53F89A5B" w14:textId="5D219627" w:rsidR="00F91F75" w:rsidRPr="007853DE"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t>Метою дослідження</w:t>
      </w:r>
      <w:r w:rsidRPr="000B236B">
        <w:rPr>
          <w:sz w:val="28"/>
          <w:szCs w:val="28"/>
          <w:lang w:val="uk-UA"/>
        </w:rPr>
        <w:t xml:space="preserve"> є розробка </w:t>
      </w:r>
      <w:r w:rsidR="00BD68AF" w:rsidRPr="000B236B">
        <w:rPr>
          <w:sz w:val="28"/>
          <w:szCs w:val="28"/>
          <w:lang w:val="uk-UA"/>
        </w:rPr>
        <w:t xml:space="preserve">на основі системного підходу </w:t>
      </w:r>
      <w:r w:rsidRPr="000B236B">
        <w:rPr>
          <w:sz w:val="28"/>
          <w:szCs w:val="28"/>
          <w:lang w:val="uk-UA"/>
        </w:rPr>
        <w:t>концеп</w:t>
      </w:r>
      <w:r w:rsidR="00BD68AF" w:rsidRPr="000B236B">
        <w:rPr>
          <w:sz w:val="28"/>
          <w:szCs w:val="28"/>
          <w:lang w:val="uk-UA"/>
        </w:rPr>
        <w:t>ції</w:t>
      </w:r>
      <w:r w:rsidRPr="000B236B">
        <w:rPr>
          <w:sz w:val="28"/>
          <w:szCs w:val="28"/>
          <w:lang w:val="uk-UA"/>
        </w:rPr>
        <w:t xml:space="preserve"> удосконалення механізму фінансування інноваційної діяльності підприємств</w:t>
      </w:r>
      <w:r w:rsidR="00E242F7" w:rsidRPr="000B236B">
        <w:rPr>
          <w:sz w:val="28"/>
          <w:szCs w:val="28"/>
          <w:lang w:val="uk-UA"/>
        </w:rPr>
        <w:t>а</w:t>
      </w:r>
      <w:r w:rsidR="00BD68AF" w:rsidRPr="000B236B">
        <w:rPr>
          <w:sz w:val="28"/>
          <w:szCs w:val="28"/>
          <w:lang w:val="uk-UA"/>
        </w:rPr>
        <w:t xml:space="preserve">, яка </w:t>
      </w:r>
      <w:r w:rsidR="00E242F7" w:rsidRPr="000B236B">
        <w:rPr>
          <w:sz w:val="28"/>
          <w:szCs w:val="28"/>
          <w:lang w:val="uk-UA"/>
        </w:rPr>
        <w:t>забезпечить його еконмічне зростання.</w:t>
      </w:r>
    </w:p>
    <w:p w14:paraId="799310E3" w14:textId="77777777" w:rsidR="00BD68AF" w:rsidRDefault="00F91F75" w:rsidP="00BD68AF">
      <w:pPr>
        <w:pStyle w:val="a6"/>
        <w:spacing w:before="0" w:beforeAutospacing="0" w:after="0" w:afterAutospacing="0" w:line="360" w:lineRule="auto"/>
        <w:ind w:firstLine="709"/>
        <w:jc w:val="both"/>
        <w:rPr>
          <w:b/>
          <w:sz w:val="28"/>
          <w:szCs w:val="28"/>
          <w:lang w:val="uk-UA"/>
        </w:rPr>
      </w:pPr>
      <w:r w:rsidRPr="00BD68AF">
        <w:rPr>
          <w:sz w:val="28"/>
          <w:szCs w:val="28"/>
          <w:lang w:val="uk-UA"/>
        </w:rPr>
        <w:t xml:space="preserve">Мета дослідження визначає постановку наступних </w:t>
      </w:r>
      <w:r w:rsidRPr="00BD68AF">
        <w:rPr>
          <w:b/>
          <w:sz w:val="28"/>
          <w:szCs w:val="28"/>
          <w:lang w:val="uk-UA"/>
        </w:rPr>
        <w:t>завдань:</w:t>
      </w:r>
    </w:p>
    <w:p w14:paraId="046A34E9" w14:textId="77777777" w:rsidR="00BD68AF" w:rsidRDefault="00BD68AF" w:rsidP="00BD68AF">
      <w:pPr>
        <w:pStyle w:val="a6"/>
        <w:spacing w:before="0" w:beforeAutospacing="0" w:after="0" w:afterAutospacing="0" w:line="360" w:lineRule="auto"/>
        <w:ind w:firstLine="709"/>
        <w:jc w:val="both"/>
        <w:rPr>
          <w:b/>
          <w:sz w:val="28"/>
          <w:szCs w:val="28"/>
          <w:lang w:val="uk-UA"/>
        </w:rPr>
      </w:pPr>
      <w:r w:rsidRPr="00BD68AF">
        <w:rPr>
          <w:bCs/>
          <w:sz w:val="28"/>
          <w:szCs w:val="28"/>
          <w:lang w:val="uk-UA"/>
        </w:rPr>
        <w:t>- в</w:t>
      </w:r>
      <w:r w:rsidR="00F91F75" w:rsidRPr="00BD68AF">
        <w:rPr>
          <w:bCs/>
          <w:sz w:val="28"/>
          <w:szCs w:val="28"/>
          <w:lang w:val="uk-UA"/>
        </w:rPr>
        <w:t>изначити</w:t>
      </w:r>
      <w:r w:rsidR="00F91F75" w:rsidRPr="00BD68AF">
        <w:rPr>
          <w:sz w:val="28"/>
          <w:szCs w:val="28"/>
          <w:lang w:val="uk-UA"/>
        </w:rPr>
        <w:t xml:space="preserve"> економічну сутність механізму фінансування інноваційної діяльності підприємства</w:t>
      </w:r>
      <w:r>
        <w:rPr>
          <w:sz w:val="28"/>
          <w:szCs w:val="28"/>
          <w:lang w:val="uk-UA"/>
        </w:rPr>
        <w:t>;</w:t>
      </w:r>
    </w:p>
    <w:p w14:paraId="69F24D5B" w14:textId="77777777" w:rsidR="00BD68AF" w:rsidRDefault="00BD68AF" w:rsidP="00BD68AF">
      <w:pPr>
        <w:pStyle w:val="a6"/>
        <w:spacing w:before="0" w:beforeAutospacing="0" w:after="0" w:afterAutospacing="0" w:line="360" w:lineRule="auto"/>
        <w:ind w:firstLine="709"/>
        <w:jc w:val="both"/>
        <w:rPr>
          <w:b/>
          <w:sz w:val="28"/>
          <w:szCs w:val="28"/>
          <w:lang w:val="uk-UA"/>
        </w:rPr>
      </w:pPr>
      <w:r>
        <w:rPr>
          <w:b/>
          <w:sz w:val="28"/>
          <w:szCs w:val="28"/>
          <w:lang w:val="uk-UA"/>
        </w:rPr>
        <w:t>-</w:t>
      </w:r>
      <w:r w:rsidRPr="00BD68AF">
        <w:rPr>
          <w:bCs/>
          <w:sz w:val="28"/>
          <w:szCs w:val="28"/>
          <w:lang w:val="uk-UA"/>
        </w:rPr>
        <w:t xml:space="preserve"> о</w:t>
      </w:r>
      <w:r w:rsidR="00F91F75" w:rsidRPr="00BD68AF">
        <w:rPr>
          <w:bCs/>
          <w:sz w:val="28"/>
          <w:szCs w:val="28"/>
          <w:lang w:val="uk-UA"/>
        </w:rPr>
        <w:t>цінити</w:t>
      </w:r>
      <w:r w:rsidR="00F91F75" w:rsidRPr="00BD68AF">
        <w:rPr>
          <w:sz w:val="28"/>
          <w:szCs w:val="28"/>
          <w:lang w:val="uk-UA"/>
        </w:rPr>
        <w:t xml:space="preserve"> джерела фінансування інноваційної діяльності підприємств в Україні</w:t>
      </w:r>
      <w:r>
        <w:rPr>
          <w:sz w:val="28"/>
          <w:szCs w:val="28"/>
          <w:lang w:val="uk-UA"/>
        </w:rPr>
        <w:t>;</w:t>
      </w:r>
    </w:p>
    <w:p w14:paraId="63BB3069" w14:textId="7EBCB937" w:rsidR="00F91F75" w:rsidRPr="00BD68AF" w:rsidRDefault="00BD68AF" w:rsidP="00BD68AF">
      <w:pPr>
        <w:pStyle w:val="a6"/>
        <w:spacing w:before="0" w:beforeAutospacing="0" w:after="0" w:afterAutospacing="0" w:line="360" w:lineRule="auto"/>
        <w:ind w:firstLine="709"/>
        <w:jc w:val="both"/>
        <w:rPr>
          <w:b/>
          <w:sz w:val="28"/>
          <w:szCs w:val="28"/>
          <w:lang w:val="uk-UA"/>
        </w:rPr>
      </w:pPr>
      <w:r w:rsidRPr="00BD68AF">
        <w:rPr>
          <w:bCs/>
          <w:sz w:val="28"/>
          <w:szCs w:val="28"/>
          <w:lang w:val="uk-UA"/>
        </w:rPr>
        <w:t>- р</w:t>
      </w:r>
      <w:r w:rsidR="00F91F75" w:rsidRPr="00BD68AF">
        <w:rPr>
          <w:bCs/>
          <w:sz w:val="28"/>
          <w:szCs w:val="28"/>
          <w:lang w:val="uk-UA"/>
        </w:rPr>
        <w:t>озробити</w:t>
      </w:r>
      <w:r w:rsidR="00F91F75" w:rsidRPr="00BD68AF">
        <w:rPr>
          <w:sz w:val="28"/>
          <w:szCs w:val="28"/>
          <w:lang w:val="uk-UA"/>
        </w:rPr>
        <w:t xml:space="preserve"> концепцію вдосконалення механізму фінансування інноваційної діяльності підприємства.</w:t>
      </w:r>
    </w:p>
    <w:p w14:paraId="1F3D2947" w14:textId="77777777" w:rsidR="00F91F75" w:rsidRPr="000B236B"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t>Методи дослідження</w:t>
      </w:r>
      <w:r w:rsidRPr="000B236B">
        <w:rPr>
          <w:sz w:val="28"/>
          <w:szCs w:val="28"/>
          <w:lang w:val="uk-UA"/>
        </w:rPr>
        <w:t xml:space="preserve"> – системний підхід, аналіз і синтез, порівняльний, історичний, логічний, економіко-статистичний.</w:t>
      </w:r>
    </w:p>
    <w:p w14:paraId="0865494F" w14:textId="77777777" w:rsidR="00F91F75" w:rsidRPr="000B236B"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t>Наукова новизна дослідження</w:t>
      </w:r>
      <w:r w:rsidRPr="000B236B">
        <w:rPr>
          <w:sz w:val="28"/>
          <w:szCs w:val="28"/>
          <w:lang w:val="uk-UA"/>
        </w:rPr>
        <w:t xml:space="preserve"> полягає в обґрунтуванні теоретичних положень, які формують концептуальні підходи до удосконалення механізму фінансування інноваційної діяльності, а також у розробці комплексу методів і моделей, спрямованих на підвищення ефективності цього механізму в Україні.</w:t>
      </w:r>
    </w:p>
    <w:p w14:paraId="30BA1E3D" w14:textId="77777777" w:rsidR="00F91F75" w:rsidRPr="000B236B" w:rsidRDefault="00F91F75" w:rsidP="00F91F75">
      <w:pPr>
        <w:pStyle w:val="a6"/>
        <w:spacing w:before="0" w:beforeAutospacing="0" w:after="0" w:afterAutospacing="0" w:line="360" w:lineRule="auto"/>
        <w:ind w:firstLine="709"/>
        <w:jc w:val="both"/>
        <w:rPr>
          <w:sz w:val="28"/>
          <w:szCs w:val="28"/>
          <w:lang w:val="uk-UA"/>
        </w:rPr>
      </w:pPr>
      <w:r w:rsidRPr="000B236B">
        <w:rPr>
          <w:b/>
          <w:sz w:val="28"/>
          <w:szCs w:val="28"/>
          <w:lang w:val="uk-UA"/>
        </w:rPr>
        <w:t>Наукові результати дослідження</w:t>
      </w:r>
      <w:r w:rsidRPr="000B236B">
        <w:rPr>
          <w:sz w:val="28"/>
          <w:szCs w:val="28"/>
          <w:lang w:val="uk-UA"/>
        </w:rPr>
        <w:t xml:space="preserve"> – визначено теоретичні основи механізму фінансування інноваційної діяльності; проведено оцінку джерел фінансування інновацій в Україні; розроблено концепцію вдосконалення механізму фінансування інноваційної діяльності підприємства.</w:t>
      </w:r>
    </w:p>
    <w:p w14:paraId="6F26C906" w14:textId="279AD888" w:rsidR="00F91F75" w:rsidRPr="00F91F75" w:rsidRDefault="00F91F75" w:rsidP="00F91F75">
      <w:pPr>
        <w:pStyle w:val="a6"/>
        <w:spacing w:before="0" w:beforeAutospacing="0" w:after="0" w:afterAutospacing="0" w:line="360" w:lineRule="auto"/>
        <w:ind w:firstLine="709"/>
        <w:jc w:val="both"/>
        <w:rPr>
          <w:sz w:val="28"/>
          <w:szCs w:val="28"/>
        </w:rPr>
      </w:pPr>
      <w:r w:rsidRPr="00A2296A">
        <w:rPr>
          <w:b/>
          <w:sz w:val="28"/>
          <w:szCs w:val="28"/>
        </w:rPr>
        <w:t>Структура роботи.</w:t>
      </w:r>
      <w:r w:rsidRPr="00F91F75">
        <w:rPr>
          <w:sz w:val="28"/>
          <w:szCs w:val="28"/>
        </w:rPr>
        <w:t xml:space="preserve"> Курсова робота складається зі вступу, трьох розділів, висновків, списку використаних джерел та додатку. </w:t>
      </w:r>
      <w:r w:rsidR="00EA00C9">
        <w:rPr>
          <w:sz w:val="28"/>
          <w:szCs w:val="28"/>
        </w:rPr>
        <w:t>Повний обсяг роботи становить 3</w:t>
      </w:r>
      <w:r w:rsidR="00A03D86">
        <w:rPr>
          <w:sz w:val="28"/>
          <w:szCs w:val="28"/>
          <w:lang w:val="uk-UA"/>
        </w:rPr>
        <w:t>3</w:t>
      </w:r>
      <w:r w:rsidR="00EA00C9">
        <w:rPr>
          <w:sz w:val="28"/>
          <w:szCs w:val="28"/>
        </w:rPr>
        <w:t xml:space="preserve"> сторін</w:t>
      </w:r>
      <w:r w:rsidR="00EA00C9">
        <w:rPr>
          <w:sz w:val="28"/>
          <w:szCs w:val="28"/>
          <w:lang w:val="uk-UA"/>
        </w:rPr>
        <w:t>ок</w:t>
      </w:r>
      <w:r w:rsidRPr="00F91F75">
        <w:rPr>
          <w:sz w:val="28"/>
          <w:szCs w:val="28"/>
        </w:rPr>
        <w:t>. Список використаних джерел включає 33 найменування. Кур</w:t>
      </w:r>
      <w:r w:rsidR="00A03D86">
        <w:rPr>
          <w:sz w:val="28"/>
          <w:szCs w:val="28"/>
        </w:rPr>
        <w:t xml:space="preserve">сова робота містить </w:t>
      </w:r>
      <w:r w:rsidR="00A03D86">
        <w:rPr>
          <w:sz w:val="28"/>
          <w:szCs w:val="28"/>
          <w:lang w:val="uk-UA"/>
        </w:rPr>
        <w:t>4</w:t>
      </w:r>
      <w:r w:rsidR="00EA00C9">
        <w:rPr>
          <w:sz w:val="28"/>
          <w:szCs w:val="28"/>
        </w:rPr>
        <w:t xml:space="preserve"> рисунки, </w:t>
      </w:r>
      <w:r w:rsidR="00EA00C9">
        <w:rPr>
          <w:sz w:val="28"/>
          <w:szCs w:val="28"/>
          <w:lang w:val="uk-UA"/>
        </w:rPr>
        <w:t>4</w:t>
      </w:r>
      <w:r w:rsidR="00EA00C9">
        <w:rPr>
          <w:sz w:val="28"/>
          <w:szCs w:val="28"/>
        </w:rPr>
        <w:t xml:space="preserve"> таблиц</w:t>
      </w:r>
      <w:r w:rsidR="00EA00C9">
        <w:rPr>
          <w:sz w:val="28"/>
          <w:szCs w:val="28"/>
          <w:lang w:val="uk-UA"/>
        </w:rPr>
        <w:t>і</w:t>
      </w:r>
      <w:r w:rsidRPr="00F91F75">
        <w:rPr>
          <w:sz w:val="28"/>
          <w:szCs w:val="28"/>
        </w:rPr>
        <w:t>.</w:t>
      </w:r>
    </w:p>
    <w:p w14:paraId="3DFAD43B" w14:textId="77777777" w:rsidR="00F91F75" w:rsidRDefault="00F91F75" w:rsidP="00C02D23">
      <w:pPr>
        <w:tabs>
          <w:tab w:val="left" w:pos="4044"/>
        </w:tabs>
        <w:jc w:val="center"/>
        <w:rPr>
          <w:rFonts w:ascii="Times New Roman" w:hAnsi="Times New Roman" w:cs="Times New Roman"/>
          <w:b/>
          <w:sz w:val="28"/>
          <w:szCs w:val="28"/>
          <w:lang w:val="uk-UA"/>
        </w:rPr>
      </w:pPr>
    </w:p>
    <w:p w14:paraId="02BED760" w14:textId="77777777" w:rsidR="001A67D2" w:rsidRDefault="001A67D2" w:rsidP="000B236B">
      <w:pPr>
        <w:tabs>
          <w:tab w:val="left" w:pos="4044"/>
        </w:tabs>
        <w:spacing w:line="360" w:lineRule="auto"/>
        <w:rPr>
          <w:rFonts w:ascii="Times New Roman" w:hAnsi="Times New Roman" w:cs="Times New Roman"/>
          <w:b/>
          <w:sz w:val="28"/>
          <w:szCs w:val="28"/>
          <w:lang w:val="uk-UA"/>
        </w:rPr>
      </w:pPr>
    </w:p>
    <w:p w14:paraId="2CC4A659" w14:textId="2E4E0913" w:rsidR="007853DE" w:rsidRPr="007853DE" w:rsidRDefault="00B14A41" w:rsidP="007853DE">
      <w:pPr>
        <w:tabs>
          <w:tab w:val="left" w:pos="4044"/>
        </w:tabs>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r w:rsidR="007853DE" w:rsidRPr="007853DE">
        <w:rPr>
          <w:rFonts w:ascii="Times New Roman" w:hAnsi="Times New Roman" w:cs="Times New Roman"/>
          <w:b/>
          <w:sz w:val="28"/>
          <w:szCs w:val="28"/>
          <w:lang w:val="uk-UA"/>
        </w:rPr>
        <w:t xml:space="preserve"> </w:t>
      </w:r>
    </w:p>
    <w:p w14:paraId="0F2E69A5" w14:textId="77777777" w:rsidR="00143059" w:rsidRPr="00143059" w:rsidRDefault="007853DE" w:rsidP="00143059">
      <w:pPr>
        <w:tabs>
          <w:tab w:val="left" w:pos="4044"/>
        </w:tabs>
        <w:spacing w:line="360" w:lineRule="auto"/>
        <w:jc w:val="center"/>
        <w:rPr>
          <w:rFonts w:ascii="Times New Roman" w:hAnsi="Times New Roman" w:cs="Times New Roman"/>
          <w:b/>
          <w:sz w:val="28"/>
          <w:szCs w:val="28"/>
          <w:lang w:val="uk-UA"/>
        </w:rPr>
      </w:pPr>
      <w:r w:rsidRPr="007853DE">
        <w:rPr>
          <w:rFonts w:ascii="Times New Roman" w:hAnsi="Times New Roman" w:cs="Times New Roman"/>
          <w:b/>
          <w:sz w:val="28"/>
          <w:szCs w:val="28"/>
          <w:lang w:val="uk-UA"/>
        </w:rPr>
        <w:t>ЕКОНОМІЧНА СУТНІСТЬ МЕХАНІЗМУ ФІНАНСУВАННЯ ІННОВАЦІЙНОЇ ДІЯЛЬНОСТІ ПІДПРИЄМСТВА</w:t>
      </w:r>
    </w:p>
    <w:p w14:paraId="02979318"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Механізм фінансування інноваційної діяльності підприємства є елементом забезпечення його конкурентоспроможності та сталого розвитку в умовах сучасної економіки. </w:t>
      </w:r>
    </w:p>
    <w:p w14:paraId="0BF2C362"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lang w:val="uk-UA"/>
        </w:rPr>
        <w:t xml:space="preserve">За визначенням Айсулу А., механізм фінансування інноваційної діяльності – це сукупність організаційних, економічних і правових інструментів, спрямованих на залучення, розподіл і ефективне використання фінансових ресурсів для реалізації інноваційних проєктів [2, с. 19]. </w:t>
      </w:r>
      <w:r w:rsidRPr="00143059">
        <w:rPr>
          <w:rFonts w:ascii="Times New Roman" w:hAnsi="Times New Roman" w:cs="Times New Roman"/>
          <w:sz w:val="28"/>
          <w:szCs w:val="28"/>
        </w:rPr>
        <w:t>Це поняття охоплює не лише джерела фінансування, але й процеси управління цими ресурсами, включаючи оцінку ризиків, моніторинг витрат і контроль за досягненням результатів.</w:t>
      </w:r>
    </w:p>
    <w:p w14:paraId="7B3E3AE7"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Інноваційна діяльність, відповідно до Закону України «Про інноваційну діяльність», включає створення, впровадження та комерціалізацію нових або вдосконалених продуктів, технологій чи процесів [24]. Як зазначає Дем’яненко Т., фінансування є основою для реалізації інноваційного потенціалу підприємства, оскільки воно забезпечує необхідні ресурси для досліджень, розробок і впровадження інновацій [7, с. 2]. Без ефективного механізму фінансування інноваційна діяльність залишається обмеженою, що знижує здатність підприємства адаптуватися до ринкових змін.</w:t>
      </w:r>
    </w:p>
    <w:p w14:paraId="1D669883"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Гнатківський Б. підкреслює, що механізм фінансування інноваційної діяльності має бути системним і враховувати специфіку підприємства, галузеві особливості та макроекономічні умови [5, с. 104]. Він включає як внутрішні ресурси (власні кошти, прибуток), так і зовнішні джерела (державні субсидії, кредити, венчурний капітал, іноземні інвестиції).</w:t>
      </w:r>
    </w:p>
    <w:p w14:paraId="03F593D0"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 Зянько В. додає, що для малих підприємств механізм фінансування часто обмежується власними коштами через складність доступу до </w:t>
      </w:r>
      <w:r w:rsidRPr="00143059">
        <w:rPr>
          <w:rFonts w:ascii="Times New Roman" w:hAnsi="Times New Roman" w:cs="Times New Roman"/>
          <w:sz w:val="28"/>
          <w:szCs w:val="28"/>
          <w:lang w:val="uk-UA"/>
        </w:rPr>
        <w:lastRenderedPageBreak/>
        <w:t>зовнішнього капіталу, що потребує розробки спеціалізованих інструментів підтримки [11, с. 57].</w:t>
      </w:r>
    </w:p>
    <w:p w14:paraId="7F344B34"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Теоретична основа механізму базується на принципах економічної ефективності та сталого розвитку. Толстова А. зазначає, що фінансування інновацій є не лише економічним, але й стратегічним завданням, яке сприяє модернізації виробництва та підвищенню конкурентоспроможності [31, с. 106]. Таким чином, механізм фінансування інноваційної діяльності є комплексною системою, яка поєднує фінансові, організаційні та управлінські аспекти для забезпечення інноваційного розвитку підприємства.</w:t>
      </w:r>
    </w:p>
    <w:p w14:paraId="14361662" w14:textId="2F94BAC8"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Механізм фінансування інноваційної діяльності підп</w:t>
      </w:r>
      <w:r>
        <w:rPr>
          <w:rFonts w:ascii="Times New Roman" w:hAnsi="Times New Roman" w:cs="Times New Roman"/>
          <w:sz w:val="28"/>
          <w:szCs w:val="28"/>
        </w:rPr>
        <w:t xml:space="preserve">риємства складається з кількох </w:t>
      </w:r>
      <w:r w:rsidRPr="00143059">
        <w:rPr>
          <w:rFonts w:ascii="Times New Roman" w:hAnsi="Times New Roman" w:cs="Times New Roman"/>
          <w:sz w:val="28"/>
          <w:szCs w:val="28"/>
        </w:rPr>
        <w:t xml:space="preserve"> компонентів, які взаємодіють для забезпечення ефективного використання ресурсів.</w:t>
      </w:r>
    </w:p>
    <w:p w14:paraId="7A057741" w14:textId="7AC2DD78"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За Івановим С., основними елементами механізму є джерела фінансування, інструменти залучення капіталу, організаційні структури та нормативно-правова база [12, с. 1]. Розглянемо ці компоненти детальніше.</w:t>
      </w:r>
    </w:p>
    <w:p w14:paraId="3EBCE7A8"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Згідно з даними, основним джерелом фінансування інноваційної діяльності в Україні є власні кошти підприємств, які у 2022–2024 роках складали 84,5–87,7% від загальних витрат [5, с. 104]. </w:t>
      </w:r>
      <w:r w:rsidRPr="001A67D2">
        <w:rPr>
          <w:rFonts w:ascii="Times New Roman" w:hAnsi="Times New Roman" w:cs="Times New Roman"/>
          <w:sz w:val="28"/>
          <w:szCs w:val="28"/>
          <w:lang w:val="uk-UA"/>
        </w:rPr>
        <w:t>Державне фінансування, іноземні інвестиції та інші джерела (гранти, кредити) відіграють значно меншу роль. Газуда Л. зазначає, що диверсифікація джерел фінансування є критичною для зниження фінансового навантаження на підприємства та підвищення їх інноваційної активності [4, с. 201].</w:t>
      </w:r>
    </w:p>
    <w:p w14:paraId="700FF95C"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До інструментів належать кредити, лізинг, венчурний капітал, краудфандинг, державні субсидії та податкові пільги. </w:t>
      </w:r>
      <w:r w:rsidRPr="001A67D2">
        <w:rPr>
          <w:rFonts w:ascii="Times New Roman" w:hAnsi="Times New Roman" w:cs="Times New Roman"/>
          <w:sz w:val="28"/>
          <w:szCs w:val="28"/>
          <w:lang w:val="uk-UA"/>
        </w:rPr>
        <w:t xml:space="preserve">Коваленко О. підкреслює важливість використання комбінованих інструментів, таких як державно-приватне партнерство (ДПП), для фінансування масштабних інноваційних проєктів [16, с. 38]. Наприклад, у країнах ЄС венчурний капітал і гранти від програм типу </w:t>
      </w:r>
      <w:r w:rsidRPr="00143059">
        <w:rPr>
          <w:rFonts w:ascii="Times New Roman" w:hAnsi="Times New Roman" w:cs="Times New Roman"/>
          <w:sz w:val="28"/>
          <w:szCs w:val="28"/>
        </w:rPr>
        <w:t>Horizon</w:t>
      </w:r>
      <w:r w:rsidRPr="001A67D2">
        <w:rPr>
          <w:rFonts w:ascii="Times New Roman" w:hAnsi="Times New Roman" w:cs="Times New Roman"/>
          <w:sz w:val="28"/>
          <w:szCs w:val="28"/>
          <w:lang w:val="uk-UA"/>
        </w:rPr>
        <w:t xml:space="preserve"> </w:t>
      </w:r>
      <w:r w:rsidRPr="00143059">
        <w:rPr>
          <w:rFonts w:ascii="Times New Roman" w:hAnsi="Times New Roman" w:cs="Times New Roman"/>
          <w:sz w:val="28"/>
          <w:szCs w:val="28"/>
        </w:rPr>
        <w:t>Europe</w:t>
      </w:r>
      <w:r w:rsidRPr="001A67D2">
        <w:rPr>
          <w:rFonts w:ascii="Times New Roman" w:hAnsi="Times New Roman" w:cs="Times New Roman"/>
          <w:sz w:val="28"/>
          <w:szCs w:val="28"/>
          <w:lang w:val="uk-UA"/>
        </w:rPr>
        <w:t xml:space="preserve"> значно сприяють розвитку інновацій [1].</w:t>
      </w:r>
    </w:p>
    <w:p w14:paraId="2FDE3CC1"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lastRenderedPageBreak/>
        <w:t xml:space="preserve">Механізм фінансування потребує створення спеціалізованих підрозділів на підприємстві, таких як інноваційні фонди або відділи управління проєктами. </w:t>
      </w:r>
      <w:r w:rsidRPr="00143059">
        <w:rPr>
          <w:rFonts w:ascii="Times New Roman" w:hAnsi="Times New Roman" w:cs="Times New Roman"/>
          <w:sz w:val="28"/>
          <w:szCs w:val="28"/>
        </w:rPr>
        <w:t>Зянько В. пропонує формувати внутрішні фонди, куди спрямовується 5–10% прибутку підприємства для фінансування досліджень і розробок [11, с. 57]. Крім того, важливу роль відіграють зовнішні інституції, такі як венчурні фонди, банки та державні агенції.</w:t>
      </w:r>
    </w:p>
    <w:p w14:paraId="7BCD752D"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Ефективність механізму залежить від законодавчого забезпечення, яке регулює податкові пільги, субсидії та захист прав інвесторів. Тітенко З. наголошує, що в Україні недостатньо розвинена система стимулів для інноваційної діяльності, що стримує залучення зовнішнього капіталу [30, с. 17].</w:t>
      </w:r>
    </w:p>
    <w:p w14:paraId="141540FA"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Ці компоненти формують цілісну систему, яка забезпечує фінансовий потік від джерела до реалізації інноваційного проєкту. Як зазначає Хоменко І., ефективна взаємодія між компонентами механізму сприяє зниженню ризиків і підвищенню результативності інноваційної діяльності [32, с. 86].</w:t>
      </w:r>
    </w:p>
    <w:p w14:paraId="0E6A7397"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 xml:space="preserve">Механізм фінансування інноваційної діяльності відіграє ключову роль у забезпеченні конкурентоспроможності підприємства. </w:t>
      </w:r>
    </w:p>
    <w:p w14:paraId="24E1273F" w14:textId="77777777" w:rsidR="00143059" w:rsidRPr="001A67D2"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За Романюком І., інновації є рушійною силою економічного зростання, а їх фінансування визначає здатність підприємства впроваджувати нові продукти та технології [26, с. 66]. </w:t>
      </w:r>
      <w:r w:rsidRPr="001A67D2">
        <w:rPr>
          <w:rFonts w:ascii="Times New Roman" w:hAnsi="Times New Roman" w:cs="Times New Roman"/>
          <w:sz w:val="28"/>
          <w:szCs w:val="28"/>
          <w:lang w:val="uk-UA"/>
        </w:rPr>
        <w:t>У глобальному контексті, де технологічний прогрес визначає ринкові позиції, ефективне фінансування дозволяє підприємствам адаптуватися до змін і займати лідерські позиції.</w:t>
      </w:r>
    </w:p>
    <w:p w14:paraId="6CAB68FC"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A67D2">
        <w:rPr>
          <w:rFonts w:ascii="Times New Roman" w:hAnsi="Times New Roman" w:cs="Times New Roman"/>
          <w:sz w:val="28"/>
          <w:szCs w:val="28"/>
          <w:lang w:val="uk-UA"/>
        </w:rPr>
        <w:t xml:space="preserve">В Україні значення механізму фінансування посилюється через обмеженість ресурсів і економічну нестабільність. </w:t>
      </w:r>
    </w:p>
    <w:p w14:paraId="06E7883B"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Дорошкевич К. зазначає, що підприємства, які інвестують в інновації, мають вищі показники продуктивності та прибутковості порівняно з тими, що покладаються на традиційні методи господарювання [9, с. 8]. </w:t>
      </w:r>
    </w:p>
    <w:p w14:paraId="7B61FC7F"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Наприклад, підприємства, які впроваджують енергоефективні технології, можуть скоротити витрати на 15–20% [14, с. 310].</w:t>
      </w:r>
    </w:p>
    <w:p w14:paraId="792095C2"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lastRenderedPageBreak/>
        <w:t>Крім того, механізм фінансування сприяє інтеграції науки та бізнесу. Гук О. підкреслює, що фінансування спільних проєктів між підприємствами та науковими установами може підвищити ефективність інноваційних розробок [6, с. 186]. У міжнародному досвіді, наприклад у Німеччині, державні програми підтримки забезпечують до 50% фінансування таких проєктів, що сприяє швидкому впровадженню інновацій [1].</w:t>
      </w:r>
    </w:p>
    <w:p w14:paraId="70B2B830" w14:textId="35EE0E68" w:rsidR="00F05235" w:rsidRDefault="00F05235" w:rsidP="00F05235">
      <w:pPr>
        <w:tabs>
          <w:tab w:val="left" w:pos="216"/>
          <w:tab w:val="left" w:pos="4044"/>
        </w:tabs>
        <w:spacing w:after="0" w:line="360" w:lineRule="auto"/>
        <w:ind w:firstLine="709"/>
        <w:jc w:val="both"/>
        <w:rPr>
          <w:rFonts w:ascii="Times New Roman" w:hAnsi="Times New Roman" w:cs="Times New Roman"/>
          <w:sz w:val="28"/>
          <w:szCs w:val="28"/>
          <w:lang w:val="uk-UA"/>
        </w:rPr>
      </w:pPr>
      <w:r w:rsidRPr="00F05235">
        <w:rPr>
          <w:rFonts w:ascii="Times New Roman" w:hAnsi="Times New Roman" w:cs="Times New Roman"/>
          <w:sz w:val="28"/>
          <w:szCs w:val="28"/>
        </w:rPr>
        <w:t>Основні компоненти механізму, за Івановим С. [12, с. 1], включають</w:t>
      </w:r>
      <w:r>
        <w:rPr>
          <w:rFonts w:ascii="Times New Roman" w:hAnsi="Times New Roman" w:cs="Times New Roman"/>
          <w:sz w:val="28"/>
          <w:szCs w:val="28"/>
          <w:lang w:val="uk-UA"/>
        </w:rPr>
        <w:t xml:space="preserve"> (рис.1.1)</w:t>
      </w:r>
      <w:r w:rsidRPr="00F05235">
        <w:rPr>
          <w:rFonts w:ascii="Times New Roman" w:hAnsi="Times New Roman" w:cs="Times New Roman"/>
          <w:sz w:val="28"/>
          <w:szCs w:val="28"/>
        </w:rPr>
        <w:t>:</w:t>
      </w:r>
    </w:p>
    <w:p w14:paraId="599C4E0A" w14:textId="05B4E84C" w:rsidR="00F05235" w:rsidRDefault="00F05235" w:rsidP="00F05235">
      <w:pPr>
        <w:tabs>
          <w:tab w:val="left" w:pos="216"/>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8406023" wp14:editId="7DE82A91">
            <wp:extent cx="5486400" cy="3200400"/>
            <wp:effectExtent l="0" t="0" r="19050" b="190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EB5ED38" w14:textId="5257E397" w:rsidR="00F05235" w:rsidRDefault="00F05235" w:rsidP="00F05235">
      <w:pPr>
        <w:tabs>
          <w:tab w:val="left" w:pos="216"/>
          <w:tab w:val="left" w:pos="4044"/>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1.1 – Основні компоненти за Івановим С.</w:t>
      </w:r>
    </w:p>
    <w:p w14:paraId="7B5CD454" w14:textId="77777777" w:rsidR="00F05235" w:rsidRPr="00F05235" w:rsidRDefault="00F05235" w:rsidP="00F05235">
      <w:pPr>
        <w:tabs>
          <w:tab w:val="left" w:pos="216"/>
          <w:tab w:val="left" w:pos="4044"/>
        </w:tabs>
        <w:spacing w:after="0" w:line="360" w:lineRule="auto"/>
        <w:ind w:firstLine="709"/>
        <w:jc w:val="both"/>
        <w:rPr>
          <w:rFonts w:ascii="Times New Roman" w:hAnsi="Times New Roman" w:cs="Times New Roman"/>
          <w:sz w:val="28"/>
          <w:szCs w:val="28"/>
          <w:lang w:val="uk-UA"/>
        </w:rPr>
      </w:pPr>
      <w:r w:rsidRPr="00F05235">
        <w:rPr>
          <w:rFonts w:ascii="Times New Roman" w:hAnsi="Times New Roman" w:cs="Times New Roman"/>
          <w:sz w:val="28"/>
          <w:szCs w:val="28"/>
          <w:lang w:val="uk-UA"/>
        </w:rPr>
        <w:t>Ці компоненти потребують удосконалення через інтеграцію сучасних підходів, таких як цифровізація управління фінансами, адаптація до глобальних стандартів і посилення міжсекторальної взаємодії.</w:t>
      </w:r>
    </w:p>
    <w:p w14:paraId="341C0C46" w14:textId="2C45EADF" w:rsidR="00F05235" w:rsidRPr="00F05235" w:rsidRDefault="00F05235" w:rsidP="00F05235">
      <w:pPr>
        <w:tabs>
          <w:tab w:val="left" w:pos="216"/>
          <w:tab w:val="left" w:pos="4044"/>
        </w:tabs>
        <w:spacing w:after="0" w:line="360" w:lineRule="auto"/>
        <w:ind w:firstLine="709"/>
        <w:jc w:val="both"/>
        <w:rPr>
          <w:rFonts w:ascii="Times New Roman" w:hAnsi="Times New Roman" w:cs="Times New Roman"/>
          <w:sz w:val="28"/>
          <w:szCs w:val="28"/>
          <w:lang w:val="uk-UA"/>
        </w:rPr>
      </w:pPr>
      <w:r w:rsidRPr="00F05235">
        <w:rPr>
          <w:rFonts w:ascii="Times New Roman" w:hAnsi="Times New Roman" w:cs="Times New Roman"/>
          <w:sz w:val="28"/>
          <w:szCs w:val="28"/>
        </w:rPr>
        <w:t>Концепція спирається на принципи економічної ефективності, сталого розвитку та інтеграції з міжнародними фінансовими системами. Інновації, за Дем’яненко Т., є рушійною силою економічного зростання, але потребують стабільних і диверсифікованих фінансових ресурсів [7, с. 2]. Толстова А. підкреслює, що фінансування інновацій – стратегічне завдання для модернізації виробництва та підвищення конкурентоспроможності [31, с. 106]. Міжнародний досвід, зокрема Horizon Europe (95 млрд євро на 2021–</w:t>
      </w:r>
      <w:r w:rsidRPr="00F05235">
        <w:rPr>
          <w:rFonts w:ascii="Times New Roman" w:hAnsi="Times New Roman" w:cs="Times New Roman"/>
          <w:sz w:val="28"/>
          <w:szCs w:val="28"/>
        </w:rPr>
        <w:lastRenderedPageBreak/>
        <w:t>2027) та ізраїльська модель венчурного капіталу (60% фінансування інновацій), демонструє ефективність комбінованих моделей [1; 26, с. 66].</w:t>
      </w:r>
    </w:p>
    <w:p w14:paraId="721E3CF8" w14:textId="77777777" w:rsidR="00B14A41" w:rsidRDefault="00143059" w:rsidP="00B14A41">
      <w:pPr>
        <w:tabs>
          <w:tab w:val="left" w:pos="216"/>
          <w:tab w:val="left" w:pos="4044"/>
        </w:tabs>
        <w:spacing w:after="0" w:line="360" w:lineRule="auto"/>
        <w:ind w:firstLine="709"/>
        <w:jc w:val="both"/>
        <w:rPr>
          <w:rFonts w:ascii="Times New Roman" w:hAnsi="Times New Roman" w:cs="Times New Roman"/>
          <w:sz w:val="28"/>
          <w:szCs w:val="28"/>
          <w:lang w:val="uk-UA"/>
        </w:rPr>
      </w:pPr>
      <w:r w:rsidRPr="00F05235">
        <w:rPr>
          <w:rFonts w:ascii="Times New Roman" w:hAnsi="Times New Roman" w:cs="Times New Roman"/>
          <w:sz w:val="28"/>
          <w:szCs w:val="28"/>
          <w:lang w:val="uk-UA"/>
        </w:rPr>
        <w:t xml:space="preserve">Незважаючи на важливість механізму фінансування, в Україні він стикається з низкою проблем, які знижують його ефективність. </w:t>
      </w:r>
      <w:r w:rsidRPr="00275916">
        <w:rPr>
          <w:rFonts w:ascii="Times New Roman" w:hAnsi="Times New Roman" w:cs="Times New Roman"/>
          <w:sz w:val="28"/>
          <w:szCs w:val="28"/>
          <w:lang w:val="uk-UA"/>
        </w:rPr>
        <w:t>За даними Гнатківського Б., основними бар’єрами є</w:t>
      </w:r>
      <w:r w:rsidRPr="00143059">
        <w:rPr>
          <w:rFonts w:ascii="Times New Roman" w:hAnsi="Times New Roman" w:cs="Times New Roman"/>
          <w:sz w:val="28"/>
          <w:szCs w:val="28"/>
          <w:lang w:val="uk-UA"/>
        </w:rPr>
        <w:t xml:space="preserve"> (табл.1.1).</w:t>
      </w:r>
    </w:p>
    <w:p w14:paraId="0D15DBED" w14:textId="77777777" w:rsidR="00143059" w:rsidRPr="00143059" w:rsidRDefault="00B14A41" w:rsidP="00B14A41">
      <w:pPr>
        <w:tabs>
          <w:tab w:val="left" w:pos="216"/>
          <w:tab w:val="left" w:pos="4044"/>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Таблиця 1.1 –</w:t>
      </w:r>
      <w:r w:rsidR="00143059" w:rsidRPr="00143059">
        <w:rPr>
          <w:rFonts w:ascii="Times New Roman" w:eastAsia="Times New Roman" w:hAnsi="Times New Roman" w:cs="Times New Roman"/>
          <w:bCs/>
          <w:sz w:val="28"/>
          <w:szCs w:val="28"/>
          <w:lang w:val="uk-UA" w:eastAsia="ru-RU"/>
        </w:rPr>
        <w:t xml:space="preserve"> Основні проблеми механізму фінансування інноваційної діяльності в Україні</w:t>
      </w:r>
    </w:p>
    <w:tbl>
      <w:tblPr>
        <w:tblStyle w:val="a4"/>
        <w:tblW w:w="0" w:type="auto"/>
        <w:tblLook w:val="04A0" w:firstRow="1" w:lastRow="0" w:firstColumn="1" w:lastColumn="0" w:noHBand="0" w:noVBand="1"/>
      </w:tblPr>
      <w:tblGrid>
        <w:gridCol w:w="2943"/>
        <w:gridCol w:w="6628"/>
      </w:tblGrid>
      <w:tr w:rsidR="00143059" w:rsidRPr="00143059" w14:paraId="36028D9A" w14:textId="77777777" w:rsidTr="00B14A41">
        <w:tc>
          <w:tcPr>
            <w:tcW w:w="2943" w:type="dxa"/>
            <w:hideMark/>
          </w:tcPr>
          <w:p w14:paraId="1AA2C0E2" w14:textId="77777777" w:rsidR="00143059" w:rsidRPr="00143059" w:rsidRDefault="00143059" w:rsidP="00B14A41">
            <w:pPr>
              <w:spacing w:line="360" w:lineRule="auto"/>
              <w:jc w:val="both"/>
              <w:rPr>
                <w:rFonts w:ascii="Times New Roman" w:eastAsia="Times New Roman" w:hAnsi="Times New Roman" w:cs="Times New Roman"/>
                <w:bCs/>
                <w:sz w:val="28"/>
                <w:szCs w:val="28"/>
                <w:lang w:val="uk-UA" w:eastAsia="ru-RU"/>
              </w:rPr>
            </w:pPr>
            <w:r w:rsidRPr="00143059">
              <w:rPr>
                <w:rFonts w:ascii="Times New Roman" w:eastAsia="Times New Roman" w:hAnsi="Times New Roman" w:cs="Times New Roman"/>
                <w:bCs/>
                <w:sz w:val="28"/>
                <w:szCs w:val="28"/>
                <w:lang w:val="uk-UA" w:eastAsia="ru-RU"/>
              </w:rPr>
              <w:t>Проблема</w:t>
            </w:r>
          </w:p>
        </w:tc>
        <w:tc>
          <w:tcPr>
            <w:tcW w:w="6628" w:type="dxa"/>
            <w:hideMark/>
          </w:tcPr>
          <w:p w14:paraId="70CE50E6" w14:textId="77777777" w:rsidR="00143059" w:rsidRPr="00143059" w:rsidRDefault="00143059" w:rsidP="00B14A41">
            <w:pPr>
              <w:spacing w:line="360" w:lineRule="auto"/>
              <w:jc w:val="both"/>
              <w:rPr>
                <w:rFonts w:ascii="Times New Roman" w:eastAsia="Times New Roman" w:hAnsi="Times New Roman" w:cs="Times New Roman"/>
                <w:bCs/>
                <w:sz w:val="28"/>
                <w:szCs w:val="28"/>
                <w:lang w:val="uk-UA" w:eastAsia="ru-RU"/>
              </w:rPr>
            </w:pPr>
            <w:r w:rsidRPr="00143059">
              <w:rPr>
                <w:rFonts w:ascii="Times New Roman" w:eastAsia="Times New Roman" w:hAnsi="Times New Roman" w:cs="Times New Roman"/>
                <w:bCs/>
                <w:sz w:val="28"/>
                <w:szCs w:val="28"/>
                <w:lang w:val="uk-UA" w:eastAsia="ru-RU"/>
              </w:rPr>
              <w:t>Опис</w:t>
            </w:r>
          </w:p>
        </w:tc>
      </w:tr>
      <w:tr w:rsidR="00143059" w:rsidRPr="00275916" w14:paraId="4AB64C18" w14:textId="77777777" w:rsidTr="00B14A41">
        <w:tc>
          <w:tcPr>
            <w:tcW w:w="2943" w:type="dxa"/>
            <w:hideMark/>
          </w:tcPr>
          <w:p w14:paraId="1AFF2523" w14:textId="12598D6C" w:rsidR="00143059" w:rsidRPr="00143059" w:rsidRDefault="00E242F7" w:rsidP="00B14A41">
            <w:pPr>
              <w:spacing w:line="360" w:lineRule="auto"/>
              <w:jc w:val="both"/>
              <w:rPr>
                <w:rFonts w:ascii="Times New Roman" w:eastAsia="Times New Roman" w:hAnsi="Times New Roman" w:cs="Times New Roman"/>
                <w:sz w:val="28"/>
                <w:szCs w:val="28"/>
                <w:lang w:val="uk-UA" w:eastAsia="ru-RU"/>
              </w:rPr>
            </w:pPr>
            <w:r w:rsidRPr="000B236B">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 xml:space="preserve"> </w:t>
            </w:r>
            <w:r w:rsidR="00143059" w:rsidRPr="00143059">
              <w:rPr>
                <w:rFonts w:ascii="Times New Roman" w:eastAsia="Times New Roman" w:hAnsi="Times New Roman" w:cs="Times New Roman"/>
                <w:sz w:val="28"/>
                <w:szCs w:val="28"/>
                <w:lang w:val="uk-UA" w:eastAsia="ru-RU"/>
              </w:rPr>
              <w:t>Висока залежність від власних коштів</w:t>
            </w:r>
          </w:p>
        </w:tc>
        <w:tc>
          <w:tcPr>
            <w:tcW w:w="6628" w:type="dxa"/>
            <w:hideMark/>
          </w:tcPr>
          <w:p w14:paraId="49408189" w14:textId="77777777" w:rsidR="00143059" w:rsidRPr="001A67D2" w:rsidRDefault="00143059" w:rsidP="00B14A41">
            <w:pPr>
              <w:spacing w:line="360" w:lineRule="auto"/>
              <w:jc w:val="both"/>
              <w:rPr>
                <w:rFonts w:ascii="Times New Roman" w:eastAsia="Times New Roman" w:hAnsi="Times New Roman" w:cs="Times New Roman"/>
                <w:sz w:val="28"/>
                <w:szCs w:val="28"/>
                <w:lang w:val="uk-UA" w:eastAsia="ru-RU"/>
              </w:rPr>
            </w:pPr>
            <w:r w:rsidRPr="00143059">
              <w:rPr>
                <w:rFonts w:ascii="Times New Roman" w:eastAsia="Times New Roman" w:hAnsi="Times New Roman" w:cs="Times New Roman"/>
                <w:sz w:val="28"/>
                <w:szCs w:val="28"/>
                <w:lang w:val="uk-UA" w:eastAsia="ru-RU"/>
              </w:rPr>
              <w:t>Власні кошти складали 84,5–87,7% витрат на інновації у 2022–2024 р</w:t>
            </w:r>
            <w:r w:rsidRPr="001A67D2">
              <w:rPr>
                <w:rFonts w:ascii="Times New Roman" w:eastAsia="Times New Roman" w:hAnsi="Times New Roman" w:cs="Times New Roman"/>
                <w:sz w:val="28"/>
                <w:szCs w:val="28"/>
                <w:lang w:val="uk-UA" w:eastAsia="ru-RU"/>
              </w:rPr>
              <w:t>оках, що вказує на обмежений доступ до зовнішнього фінансування і створює бар’єри для малих та середніх підприємств.</w:t>
            </w:r>
          </w:p>
        </w:tc>
      </w:tr>
      <w:tr w:rsidR="00143059" w:rsidRPr="00143059" w14:paraId="68E2B925" w14:textId="77777777" w:rsidTr="00B14A41">
        <w:tc>
          <w:tcPr>
            <w:tcW w:w="2943" w:type="dxa"/>
            <w:hideMark/>
          </w:tcPr>
          <w:p w14:paraId="4E922111" w14:textId="104CA001" w:rsidR="00143059" w:rsidRPr="00143059" w:rsidRDefault="00E242F7" w:rsidP="00B14A41">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2. </w:t>
            </w:r>
            <w:r w:rsidR="00143059" w:rsidRPr="00143059">
              <w:rPr>
                <w:rFonts w:ascii="Times New Roman" w:eastAsia="Times New Roman" w:hAnsi="Times New Roman" w:cs="Times New Roman"/>
                <w:sz w:val="28"/>
                <w:szCs w:val="28"/>
                <w:lang w:eastAsia="ru-RU"/>
              </w:rPr>
              <w:t>Недостатнє державне фінансування</w:t>
            </w:r>
          </w:p>
        </w:tc>
        <w:tc>
          <w:tcPr>
            <w:tcW w:w="6628" w:type="dxa"/>
            <w:hideMark/>
          </w:tcPr>
          <w:p w14:paraId="570B55AD" w14:textId="77777777" w:rsidR="00143059" w:rsidRPr="00143059" w:rsidRDefault="00143059" w:rsidP="00B14A41">
            <w:pPr>
              <w:spacing w:line="360" w:lineRule="auto"/>
              <w:jc w:val="both"/>
              <w:rPr>
                <w:rFonts w:ascii="Times New Roman" w:eastAsia="Times New Roman" w:hAnsi="Times New Roman" w:cs="Times New Roman"/>
                <w:sz w:val="28"/>
                <w:szCs w:val="28"/>
                <w:lang w:eastAsia="ru-RU"/>
              </w:rPr>
            </w:pPr>
            <w:r w:rsidRPr="00143059">
              <w:rPr>
                <w:rFonts w:ascii="Times New Roman" w:eastAsia="Times New Roman" w:hAnsi="Times New Roman" w:cs="Times New Roman"/>
                <w:sz w:val="28"/>
                <w:szCs w:val="28"/>
                <w:lang w:eastAsia="ru-RU"/>
              </w:rPr>
              <w:t>Частка державного бюджету в фінансуванні інновацій знизилася до 2,5% у 2024 році через бюджетні обмеження, що послаблює підтримку інноваційної діяльності.</w:t>
            </w:r>
          </w:p>
        </w:tc>
      </w:tr>
      <w:tr w:rsidR="00143059" w:rsidRPr="00143059" w14:paraId="6C210148" w14:textId="77777777" w:rsidTr="00B14A41">
        <w:tc>
          <w:tcPr>
            <w:tcW w:w="2943" w:type="dxa"/>
            <w:hideMark/>
          </w:tcPr>
          <w:p w14:paraId="5CE59E7A" w14:textId="1144A4D2" w:rsidR="00143059" w:rsidRPr="00143059" w:rsidRDefault="00E242F7" w:rsidP="00B14A41">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3. </w:t>
            </w:r>
            <w:r w:rsidR="00143059" w:rsidRPr="00143059">
              <w:rPr>
                <w:rFonts w:ascii="Times New Roman" w:eastAsia="Times New Roman" w:hAnsi="Times New Roman" w:cs="Times New Roman"/>
                <w:sz w:val="28"/>
                <w:szCs w:val="28"/>
                <w:lang w:eastAsia="ru-RU"/>
              </w:rPr>
              <w:t>Низький рівень іноземних інвестицій</w:t>
            </w:r>
          </w:p>
        </w:tc>
        <w:tc>
          <w:tcPr>
            <w:tcW w:w="6628" w:type="dxa"/>
            <w:hideMark/>
          </w:tcPr>
          <w:p w14:paraId="6FFD8695" w14:textId="77777777" w:rsidR="00143059" w:rsidRPr="00143059" w:rsidRDefault="00143059" w:rsidP="00B14A41">
            <w:pPr>
              <w:spacing w:line="360" w:lineRule="auto"/>
              <w:jc w:val="both"/>
              <w:rPr>
                <w:rFonts w:ascii="Times New Roman" w:eastAsia="Times New Roman" w:hAnsi="Times New Roman" w:cs="Times New Roman"/>
                <w:sz w:val="28"/>
                <w:szCs w:val="28"/>
                <w:lang w:eastAsia="ru-RU"/>
              </w:rPr>
            </w:pPr>
            <w:r w:rsidRPr="00143059">
              <w:rPr>
                <w:rFonts w:ascii="Times New Roman" w:eastAsia="Times New Roman" w:hAnsi="Times New Roman" w:cs="Times New Roman"/>
                <w:sz w:val="28"/>
                <w:szCs w:val="28"/>
                <w:lang w:eastAsia="ru-RU"/>
              </w:rPr>
              <w:t xml:space="preserve">Іноземні інвестори забезпечують лише 1,2% фінансування у 2024 році, що зумовлено високими економічними та політичними ризиками, які </w:t>
            </w:r>
            <w:r w:rsidRPr="00143059">
              <w:rPr>
                <w:rFonts w:ascii="Times New Roman" w:eastAsia="Times New Roman" w:hAnsi="Times New Roman" w:cs="Times New Roman"/>
                <w:sz w:val="28"/>
                <w:szCs w:val="28"/>
                <w:lang w:eastAsia="ru-RU"/>
              </w:rPr>
              <w:lastRenderedPageBreak/>
              <w:t>стримують приплив капіталу.</w:t>
            </w:r>
          </w:p>
        </w:tc>
      </w:tr>
      <w:tr w:rsidR="00143059" w:rsidRPr="00143059" w14:paraId="64D0962E" w14:textId="77777777" w:rsidTr="00B14A41">
        <w:tc>
          <w:tcPr>
            <w:tcW w:w="2943" w:type="dxa"/>
            <w:hideMark/>
          </w:tcPr>
          <w:p w14:paraId="493B0A70" w14:textId="224E245A" w:rsidR="00143059" w:rsidRPr="00143059" w:rsidRDefault="00E242F7" w:rsidP="00B14A41">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4. </w:t>
            </w:r>
            <w:r w:rsidR="00143059" w:rsidRPr="00143059">
              <w:rPr>
                <w:rFonts w:ascii="Times New Roman" w:eastAsia="Times New Roman" w:hAnsi="Times New Roman" w:cs="Times New Roman"/>
                <w:sz w:val="28"/>
                <w:szCs w:val="28"/>
                <w:lang w:eastAsia="ru-RU"/>
              </w:rPr>
              <w:t>Нерозвиненість венчурного капіталу та альтернативних інструментів</w:t>
            </w:r>
          </w:p>
        </w:tc>
        <w:tc>
          <w:tcPr>
            <w:tcW w:w="6628" w:type="dxa"/>
            <w:hideMark/>
          </w:tcPr>
          <w:p w14:paraId="790C3816" w14:textId="77777777" w:rsidR="00143059" w:rsidRPr="00143059" w:rsidRDefault="00143059" w:rsidP="00B14A41">
            <w:pPr>
              <w:spacing w:line="360" w:lineRule="auto"/>
              <w:jc w:val="both"/>
              <w:rPr>
                <w:rFonts w:ascii="Times New Roman" w:eastAsia="Times New Roman" w:hAnsi="Times New Roman" w:cs="Times New Roman"/>
                <w:sz w:val="28"/>
                <w:szCs w:val="28"/>
                <w:lang w:eastAsia="ru-RU"/>
              </w:rPr>
            </w:pPr>
            <w:r w:rsidRPr="00143059">
              <w:rPr>
                <w:rFonts w:ascii="Times New Roman" w:eastAsia="Times New Roman" w:hAnsi="Times New Roman" w:cs="Times New Roman"/>
                <w:sz w:val="28"/>
                <w:szCs w:val="28"/>
                <w:lang w:eastAsia="ru-RU"/>
              </w:rPr>
              <w:t>Відсутність законодавчої бази для венчурних фондів і краудфандингу перешкоджає залученню капіталу для малих і середніх підприємств, обмежуючи їх інноваційний потенціал.</w:t>
            </w:r>
          </w:p>
        </w:tc>
      </w:tr>
    </w:tbl>
    <w:p w14:paraId="311E5C05" w14:textId="77777777" w:rsidR="00143059" w:rsidRPr="00143059" w:rsidRDefault="00143059" w:rsidP="00143059">
      <w:pPr>
        <w:spacing w:after="0" w:line="360" w:lineRule="auto"/>
        <w:ind w:firstLine="709"/>
        <w:jc w:val="both"/>
        <w:rPr>
          <w:rFonts w:ascii="Times New Roman" w:eastAsia="Times New Roman" w:hAnsi="Times New Roman" w:cs="Times New Roman"/>
          <w:sz w:val="28"/>
          <w:szCs w:val="28"/>
          <w:lang w:eastAsia="ru-RU"/>
        </w:rPr>
      </w:pPr>
      <w:r w:rsidRPr="00143059">
        <w:rPr>
          <w:rFonts w:ascii="Times New Roman" w:eastAsia="Times New Roman" w:hAnsi="Times New Roman" w:cs="Times New Roman"/>
          <w:i/>
          <w:iCs/>
          <w:sz w:val="28"/>
          <w:szCs w:val="28"/>
          <w:lang w:eastAsia="ru-RU"/>
        </w:rPr>
        <w:t>Джерело: складено на основі [5, с. 104–107; 12, с. 1].</w:t>
      </w:r>
    </w:p>
    <w:p w14:paraId="74BD0893"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bCs/>
          <w:sz w:val="28"/>
          <w:szCs w:val="28"/>
          <w:lang w:val="uk-UA"/>
        </w:rPr>
      </w:pPr>
    </w:p>
    <w:p w14:paraId="12FEEAAA"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Ці проблеми призводять до зменшення загальних витрат на інновації (з 14 220,9 млн грн у 2022 році до 9 117,5 млн грн у 2024 році), що гальмує інноваційний розвиток [5, с. 108]. Лупак Р. додає, що брак координації між державою, бізнесом і науковими установами знижує ефективність використання наявних ресурсів [19, с. 64].</w:t>
      </w:r>
    </w:p>
    <w:p w14:paraId="587D2797"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 xml:space="preserve">Механізм фінансування інноваційної діяльності підприємства є складною системою, яка включає джерела, інструменти, організаційні структури та нормативно-правову базу. </w:t>
      </w:r>
    </w:p>
    <w:p w14:paraId="5464AFA9"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rPr>
        <w:t xml:space="preserve">Його економічна сутність полягає в забезпеченні ресурсами для створення та впровадження інновацій, що сприяє конкурентоспроможності та сталому розвитку підприємства. </w:t>
      </w:r>
    </w:p>
    <w:p w14:paraId="35B3BE23" w14:textId="77777777" w:rsid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В Україні механізм характеризується високою залежністю від власних коштів, обмеженим державним і іноземним фінансуванням, а також нерозвиненістю альтернативних інструментів, таких як венчурний капітал і краудфандинг. </w:t>
      </w:r>
    </w:p>
    <w:p w14:paraId="4B921317" w14:textId="77777777" w:rsidR="00143059" w:rsidRPr="00143059" w:rsidRDefault="00143059" w:rsidP="00143059">
      <w:pPr>
        <w:tabs>
          <w:tab w:val="left" w:pos="216"/>
          <w:tab w:val="left" w:pos="4044"/>
        </w:tabs>
        <w:spacing w:after="0" w:line="360" w:lineRule="auto"/>
        <w:ind w:firstLine="709"/>
        <w:jc w:val="both"/>
        <w:rPr>
          <w:rFonts w:ascii="Times New Roman" w:hAnsi="Times New Roman" w:cs="Times New Roman"/>
          <w:sz w:val="28"/>
          <w:szCs w:val="28"/>
        </w:rPr>
      </w:pPr>
      <w:r w:rsidRPr="00143059">
        <w:rPr>
          <w:rFonts w:ascii="Times New Roman" w:hAnsi="Times New Roman" w:cs="Times New Roman"/>
          <w:sz w:val="28"/>
          <w:szCs w:val="28"/>
        </w:rPr>
        <w:t>Вирішення цих проблем потребує системного підходу, включаючи диверсифікацію джерел, удосконалення законодавства та інтеграцію з міжнародними фінансовими системами.</w:t>
      </w:r>
    </w:p>
    <w:p w14:paraId="3DF3330C" w14:textId="77777777" w:rsidR="00F91F75" w:rsidRDefault="00143059" w:rsidP="00143059">
      <w:pPr>
        <w:tabs>
          <w:tab w:val="left" w:pos="216"/>
          <w:tab w:val="left" w:pos="4044"/>
        </w:tabs>
        <w:rPr>
          <w:rFonts w:ascii="Times New Roman" w:hAnsi="Times New Roman" w:cs="Times New Roman"/>
          <w:b/>
          <w:sz w:val="28"/>
          <w:szCs w:val="28"/>
          <w:lang w:val="uk-UA"/>
        </w:rPr>
      </w:pPr>
      <w:r>
        <w:rPr>
          <w:rFonts w:ascii="Times New Roman" w:hAnsi="Times New Roman" w:cs="Times New Roman"/>
          <w:b/>
          <w:sz w:val="28"/>
          <w:szCs w:val="28"/>
          <w:lang w:val="uk-UA"/>
        </w:rPr>
        <w:tab/>
      </w:r>
    </w:p>
    <w:p w14:paraId="35FA1718" w14:textId="77777777" w:rsidR="00F91F75" w:rsidRDefault="00F91F75" w:rsidP="00C02D23">
      <w:pPr>
        <w:tabs>
          <w:tab w:val="left" w:pos="4044"/>
        </w:tabs>
        <w:jc w:val="center"/>
        <w:rPr>
          <w:rFonts w:ascii="Times New Roman" w:hAnsi="Times New Roman" w:cs="Times New Roman"/>
          <w:b/>
          <w:sz w:val="28"/>
          <w:szCs w:val="28"/>
          <w:lang w:val="uk-UA"/>
        </w:rPr>
      </w:pPr>
    </w:p>
    <w:p w14:paraId="5654D559" w14:textId="77777777" w:rsidR="00F91F75" w:rsidRDefault="00F91F75" w:rsidP="00C02D23">
      <w:pPr>
        <w:tabs>
          <w:tab w:val="left" w:pos="4044"/>
        </w:tabs>
        <w:jc w:val="center"/>
        <w:rPr>
          <w:rFonts w:ascii="Times New Roman" w:hAnsi="Times New Roman" w:cs="Times New Roman"/>
          <w:b/>
          <w:sz w:val="28"/>
          <w:szCs w:val="28"/>
          <w:lang w:val="uk-UA"/>
        </w:rPr>
      </w:pPr>
    </w:p>
    <w:p w14:paraId="0F89AB2D" w14:textId="77777777" w:rsidR="00F91F75" w:rsidRDefault="00F91F75" w:rsidP="00C02D23">
      <w:pPr>
        <w:tabs>
          <w:tab w:val="left" w:pos="4044"/>
        </w:tabs>
        <w:jc w:val="center"/>
        <w:rPr>
          <w:rFonts w:ascii="Times New Roman" w:hAnsi="Times New Roman" w:cs="Times New Roman"/>
          <w:b/>
          <w:sz w:val="28"/>
          <w:szCs w:val="28"/>
          <w:lang w:val="uk-UA"/>
        </w:rPr>
      </w:pPr>
    </w:p>
    <w:p w14:paraId="2F7889C8" w14:textId="77777777" w:rsidR="007853DE" w:rsidRDefault="007853DE" w:rsidP="00C02D23">
      <w:pPr>
        <w:tabs>
          <w:tab w:val="left" w:pos="4044"/>
        </w:tabs>
        <w:jc w:val="center"/>
        <w:rPr>
          <w:rFonts w:ascii="Times New Roman" w:hAnsi="Times New Roman" w:cs="Times New Roman"/>
          <w:b/>
          <w:sz w:val="28"/>
          <w:szCs w:val="28"/>
          <w:lang w:val="uk-UA"/>
        </w:rPr>
      </w:pPr>
    </w:p>
    <w:p w14:paraId="3E4A8C7B" w14:textId="77777777" w:rsidR="007853DE" w:rsidRDefault="007853DE" w:rsidP="00C02D23">
      <w:pPr>
        <w:tabs>
          <w:tab w:val="left" w:pos="4044"/>
        </w:tabs>
        <w:jc w:val="center"/>
        <w:rPr>
          <w:rFonts w:ascii="Times New Roman" w:hAnsi="Times New Roman" w:cs="Times New Roman"/>
          <w:b/>
          <w:sz w:val="28"/>
          <w:szCs w:val="28"/>
          <w:lang w:val="uk-UA"/>
        </w:rPr>
      </w:pPr>
    </w:p>
    <w:p w14:paraId="4CFC27D2" w14:textId="77777777" w:rsidR="007853DE" w:rsidRDefault="007853DE" w:rsidP="00143059">
      <w:pPr>
        <w:tabs>
          <w:tab w:val="left" w:pos="4044"/>
        </w:tabs>
        <w:rPr>
          <w:rFonts w:ascii="Times New Roman" w:hAnsi="Times New Roman" w:cs="Times New Roman"/>
          <w:b/>
          <w:sz w:val="28"/>
          <w:szCs w:val="28"/>
          <w:lang w:val="uk-UA"/>
        </w:rPr>
      </w:pPr>
    </w:p>
    <w:p w14:paraId="009074AA" w14:textId="77777777" w:rsidR="00B14A41" w:rsidRDefault="00B14A41" w:rsidP="00143059">
      <w:pPr>
        <w:tabs>
          <w:tab w:val="left" w:pos="4044"/>
        </w:tabs>
        <w:rPr>
          <w:rFonts w:ascii="Times New Roman" w:hAnsi="Times New Roman" w:cs="Times New Roman"/>
          <w:b/>
          <w:sz w:val="28"/>
          <w:szCs w:val="28"/>
          <w:lang w:val="uk-UA"/>
        </w:rPr>
      </w:pPr>
    </w:p>
    <w:p w14:paraId="40D85B46" w14:textId="77777777" w:rsidR="00B14A41" w:rsidRDefault="00B14A41" w:rsidP="00143059">
      <w:pPr>
        <w:tabs>
          <w:tab w:val="left" w:pos="4044"/>
        </w:tabs>
        <w:rPr>
          <w:rFonts w:ascii="Times New Roman" w:hAnsi="Times New Roman" w:cs="Times New Roman"/>
          <w:b/>
          <w:sz w:val="28"/>
          <w:szCs w:val="28"/>
          <w:lang w:val="uk-UA"/>
        </w:rPr>
      </w:pPr>
    </w:p>
    <w:p w14:paraId="709BA649" w14:textId="77777777" w:rsidR="001A67D2" w:rsidRDefault="001A67D2" w:rsidP="007853DE">
      <w:pPr>
        <w:tabs>
          <w:tab w:val="left" w:pos="4044"/>
        </w:tabs>
        <w:spacing w:line="360" w:lineRule="auto"/>
        <w:jc w:val="center"/>
        <w:rPr>
          <w:rFonts w:ascii="Times New Roman" w:hAnsi="Times New Roman" w:cs="Times New Roman"/>
          <w:b/>
          <w:sz w:val="28"/>
          <w:szCs w:val="28"/>
          <w:lang w:val="uk-UA"/>
        </w:rPr>
      </w:pPr>
    </w:p>
    <w:p w14:paraId="55AD792B" w14:textId="77777777" w:rsidR="00F05235" w:rsidRDefault="00F05235" w:rsidP="00F05235">
      <w:pPr>
        <w:tabs>
          <w:tab w:val="left" w:pos="4044"/>
        </w:tabs>
        <w:spacing w:line="360" w:lineRule="auto"/>
        <w:rPr>
          <w:rFonts w:ascii="Times New Roman" w:hAnsi="Times New Roman" w:cs="Times New Roman"/>
          <w:b/>
          <w:sz w:val="28"/>
          <w:szCs w:val="28"/>
          <w:lang w:val="uk-UA"/>
        </w:rPr>
      </w:pPr>
    </w:p>
    <w:p w14:paraId="10C2EE40" w14:textId="77777777" w:rsidR="00F05235" w:rsidRDefault="00F05235" w:rsidP="00F05235">
      <w:pPr>
        <w:tabs>
          <w:tab w:val="left" w:pos="4044"/>
        </w:tabs>
        <w:spacing w:line="360" w:lineRule="auto"/>
        <w:rPr>
          <w:rFonts w:ascii="Times New Roman" w:hAnsi="Times New Roman" w:cs="Times New Roman"/>
          <w:b/>
          <w:sz w:val="28"/>
          <w:szCs w:val="28"/>
          <w:lang w:val="uk-UA"/>
        </w:rPr>
      </w:pPr>
    </w:p>
    <w:p w14:paraId="47326B24" w14:textId="6E593D90" w:rsidR="007853DE" w:rsidRDefault="007853DE" w:rsidP="007853DE">
      <w:pPr>
        <w:tabs>
          <w:tab w:val="left" w:pos="4044"/>
        </w:tabs>
        <w:spacing w:line="360" w:lineRule="auto"/>
        <w:jc w:val="center"/>
        <w:rPr>
          <w:rFonts w:ascii="Times New Roman" w:hAnsi="Times New Roman" w:cs="Times New Roman"/>
          <w:b/>
          <w:sz w:val="28"/>
          <w:szCs w:val="28"/>
          <w:lang w:val="uk-UA"/>
        </w:rPr>
      </w:pPr>
      <w:r w:rsidRPr="007853DE">
        <w:rPr>
          <w:rFonts w:ascii="Times New Roman" w:hAnsi="Times New Roman" w:cs="Times New Roman"/>
          <w:b/>
          <w:sz w:val="28"/>
          <w:szCs w:val="28"/>
          <w:lang w:val="uk-UA"/>
        </w:rPr>
        <w:t xml:space="preserve">РОЗДІЛ 2 </w:t>
      </w:r>
    </w:p>
    <w:p w14:paraId="744519CB" w14:textId="77777777" w:rsidR="007853DE" w:rsidRDefault="007853DE" w:rsidP="007853DE">
      <w:pPr>
        <w:tabs>
          <w:tab w:val="left" w:pos="4044"/>
        </w:tabs>
        <w:spacing w:line="360" w:lineRule="auto"/>
        <w:jc w:val="center"/>
        <w:rPr>
          <w:rFonts w:ascii="Times New Roman" w:hAnsi="Times New Roman" w:cs="Times New Roman"/>
          <w:b/>
          <w:sz w:val="28"/>
          <w:szCs w:val="28"/>
          <w:lang w:val="uk-UA"/>
        </w:rPr>
      </w:pPr>
      <w:r w:rsidRPr="007853DE">
        <w:rPr>
          <w:rFonts w:ascii="Times New Roman" w:hAnsi="Times New Roman" w:cs="Times New Roman"/>
          <w:b/>
          <w:sz w:val="28"/>
          <w:szCs w:val="28"/>
          <w:lang w:val="uk-UA"/>
        </w:rPr>
        <w:t>ОЦІНКА ДЖЕРЕЛ ФІНАНСУВАННЯ ІННОВАЦІЙНОЇ Д</w:t>
      </w:r>
      <w:r>
        <w:rPr>
          <w:rFonts w:ascii="Times New Roman" w:hAnsi="Times New Roman" w:cs="Times New Roman"/>
          <w:b/>
          <w:sz w:val="28"/>
          <w:szCs w:val="28"/>
          <w:lang w:val="uk-UA"/>
        </w:rPr>
        <w:t>ІЯЛЬНОСТІ ПІДПРИЄМСТВ В УКРАЇНІ</w:t>
      </w:r>
    </w:p>
    <w:p w14:paraId="19FB7929" w14:textId="77777777" w:rsidR="008B0776" w:rsidRPr="008B0776" w:rsidRDefault="008B0776" w:rsidP="008B0776">
      <w:pPr>
        <w:tabs>
          <w:tab w:val="left" w:pos="4044"/>
        </w:tabs>
        <w:spacing w:after="0" w:line="360" w:lineRule="auto"/>
        <w:ind w:firstLine="709"/>
        <w:jc w:val="both"/>
        <w:rPr>
          <w:rFonts w:ascii="Times New Roman" w:hAnsi="Times New Roman" w:cs="Times New Roman"/>
          <w:sz w:val="28"/>
          <w:szCs w:val="28"/>
          <w:lang w:val="uk-UA"/>
        </w:rPr>
      </w:pPr>
      <w:r w:rsidRPr="008B0776">
        <w:rPr>
          <w:rFonts w:ascii="Times New Roman" w:hAnsi="Times New Roman" w:cs="Times New Roman"/>
          <w:sz w:val="28"/>
          <w:szCs w:val="28"/>
          <w:lang w:val="uk-UA"/>
        </w:rPr>
        <w:t>У контексті розвитку інноваційної діяльності підприємств в Україні ключовим завданням є аналіз структури та ефективності джерел фінансування. Згідно з дослідженнями, основними джерелами фінансування інновацій в Україні є власні кошти підприємств, державні гранти, банківські кредити, а також, меншою мірою, іноземні інвестиції та венчурний капітал. Власні кошти залишаються домінуючим джерелом через обмежену доступність кредитних ресурсів, недостатній розвиток венчурного фінансування та низький рівень залучення зовнішніх інвесторів. Проте залежність від внутрішніх ресурсів значно обмежує можливості масштабування інноваційних проєктів, особливо для малих і середніх підприємств (МСБ), які часто не мають достатнього фінансового резерву для інвестування в інновації.</w:t>
      </w:r>
    </w:p>
    <w:p w14:paraId="5F63C979" w14:textId="77777777" w:rsidR="008B0776" w:rsidRPr="008B0776" w:rsidRDefault="008B0776" w:rsidP="008B0776">
      <w:pPr>
        <w:tabs>
          <w:tab w:val="left" w:pos="4044"/>
        </w:tabs>
        <w:spacing w:after="0" w:line="360" w:lineRule="auto"/>
        <w:ind w:firstLine="709"/>
        <w:jc w:val="both"/>
        <w:rPr>
          <w:rFonts w:ascii="Times New Roman" w:hAnsi="Times New Roman" w:cs="Times New Roman"/>
          <w:sz w:val="28"/>
          <w:szCs w:val="28"/>
        </w:rPr>
      </w:pPr>
      <w:r w:rsidRPr="008B0776">
        <w:rPr>
          <w:rFonts w:ascii="Times New Roman" w:hAnsi="Times New Roman" w:cs="Times New Roman"/>
          <w:sz w:val="28"/>
          <w:szCs w:val="28"/>
        </w:rPr>
        <w:t xml:space="preserve">Державне фінансування, хоча й передбачене законодавством, характеризується бюрократичними перепонами, недостатньою прозорістю та обмеженим обсягом, що знижує його ефективність. Банківські кредити, своєю чергою, залишаються малодоступними через високі процентні ставки </w:t>
      </w:r>
      <w:r w:rsidRPr="008B0776">
        <w:rPr>
          <w:rFonts w:ascii="Times New Roman" w:hAnsi="Times New Roman" w:cs="Times New Roman"/>
          <w:sz w:val="28"/>
          <w:szCs w:val="28"/>
        </w:rPr>
        <w:lastRenderedPageBreak/>
        <w:t>(18–25% річних у 2024 році [14]), що робить їх економічно невигідними для інноваційних проєктів із довгостроковими циклами окупності (3–5 років і більше). Крім того, іноземні інвестиції та венчурний капітал в Україні розвинені недостатньо через високі економічні та політичні ризики, що відлякують потенційних інвесторів. Фінансування інноваційної діяльності є визначальним фактором для впровадження нових технологій, продуктів і процесів, які забезпечують конкурентоспроможність і сталий розвиток підприємств.</w:t>
      </w:r>
    </w:p>
    <w:p w14:paraId="12350DE9" w14:textId="77777777" w:rsidR="008B0776" w:rsidRPr="008B0776" w:rsidRDefault="008B0776" w:rsidP="008B0776">
      <w:pPr>
        <w:tabs>
          <w:tab w:val="left" w:pos="4044"/>
        </w:tabs>
        <w:spacing w:after="0" w:line="360" w:lineRule="auto"/>
        <w:ind w:firstLine="709"/>
        <w:jc w:val="both"/>
        <w:rPr>
          <w:rFonts w:ascii="Times New Roman" w:hAnsi="Times New Roman" w:cs="Times New Roman"/>
          <w:sz w:val="28"/>
          <w:szCs w:val="28"/>
        </w:rPr>
      </w:pPr>
      <w:r w:rsidRPr="008B0776">
        <w:rPr>
          <w:rFonts w:ascii="Times New Roman" w:hAnsi="Times New Roman" w:cs="Times New Roman"/>
          <w:sz w:val="28"/>
          <w:szCs w:val="28"/>
        </w:rPr>
        <w:t>Як зазначає Айсулу А., ефективність інноваційного розвитку залежить від диверсифікації джерел фінансування, що дозволяє знизити фінансове навантаження на підприємства та підвищити їх інноваційний потенціал [2, с. 19]. Проте в Україні домінування власних коштів (84,5–88,2% у 2022–2024 роках [5, с. 104]) свідчить про обмежений доступ до зовнішніх джерел, що стримує інноваційний розвиток, особливо в умовах економічної нестабільності. Зянько В. додає, що для МСБ проблема доступу до фінансування є особливо гострою, оскільки вони не мають достатнього капіталу для самофінансування, а зовнішні джерела залишаються для них недоступними через високі вимоги банків і брак спеціалізованих програм підтримки [11, с. 57].</w:t>
      </w:r>
    </w:p>
    <w:p w14:paraId="18636D27" w14:textId="77777777" w:rsidR="008B0776" w:rsidRPr="008B0776" w:rsidRDefault="008B0776" w:rsidP="008B0776">
      <w:pPr>
        <w:tabs>
          <w:tab w:val="left" w:pos="4044"/>
        </w:tabs>
        <w:spacing w:after="0" w:line="360" w:lineRule="auto"/>
        <w:ind w:firstLine="709"/>
        <w:jc w:val="both"/>
        <w:rPr>
          <w:rFonts w:ascii="Times New Roman" w:hAnsi="Times New Roman" w:cs="Times New Roman"/>
          <w:sz w:val="28"/>
          <w:szCs w:val="28"/>
        </w:rPr>
      </w:pPr>
      <w:r w:rsidRPr="008B0776">
        <w:rPr>
          <w:rFonts w:ascii="Times New Roman" w:hAnsi="Times New Roman" w:cs="Times New Roman"/>
          <w:sz w:val="28"/>
          <w:szCs w:val="28"/>
        </w:rPr>
        <w:t>Згідно з Законом України «Про інноваційну діяльність» від 04.07.2002 № 40-IV, джерела фінансування інноваційної діяльності можуть включати державні та місцеві бюджети, власні або позикові кошти суб’єктів господарювання, інвестиції фізичних і юридичних осіб, а також інші джерела, не заборонені законодавством [24]. Проте на практиці структура фінансування в Україні є нерівномірною, з переважною залежністю від самофінансування, що створює бар’єри для реалізації масштабних інноваційних проєктів. Гнатківський Б. зазначає, що така структура є наслідком недостатньої розвиненості фінансової інфраструктури, низької активності венчурних фондів і слабкої інтеграції з міжнародними фінансовими ринками [5, с. 106].</w:t>
      </w:r>
    </w:p>
    <w:p w14:paraId="395F2BEA" w14:textId="77777777" w:rsidR="008B0776" w:rsidRDefault="008B0776" w:rsidP="008B0776">
      <w:pPr>
        <w:tabs>
          <w:tab w:val="left" w:pos="4044"/>
        </w:tabs>
        <w:spacing w:after="0" w:line="360" w:lineRule="auto"/>
        <w:ind w:firstLine="709"/>
        <w:jc w:val="both"/>
        <w:rPr>
          <w:rFonts w:ascii="Times New Roman" w:hAnsi="Times New Roman" w:cs="Times New Roman"/>
          <w:sz w:val="28"/>
          <w:szCs w:val="28"/>
        </w:rPr>
      </w:pPr>
      <w:r w:rsidRPr="008B0776">
        <w:rPr>
          <w:rFonts w:ascii="Times New Roman" w:hAnsi="Times New Roman" w:cs="Times New Roman"/>
          <w:sz w:val="28"/>
          <w:szCs w:val="28"/>
        </w:rPr>
        <w:t>Для оцінки джерел фінансування використано офіційні статистичні дані та результати наукових досліджень. Таблиця 2.1 відображає структуру витрат на інноваційну діяльність за джерелами фінансування у 2022–2024 роках, що дозволяє простежити ключові тенденції.</w:t>
      </w:r>
    </w:p>
    <w:p w14:paraId="13247312" w14:textId="77777777" w:rsidR="00B14A41" w:rsidRDefault="00B14A41" w:rsidP="008B0776">
      <w:pPr>
        <w:tabs>
          <w:tab w:val="left" w:pos="4044"/>
        </w:tabs>
        <w:spacing w:after="0" w:line="360" w:lineRule="auto"/>
        <w:ind w:firstLine="709"/>
        <w:jc w:val="both"/>
        <w:rPr>
          <w:rFonts w:ascii="Times New Roman" w:hAnsi="Times New Roman" w:cs="Times New Roman"/>
          <w:sz w:val="28"/>
          <w:szCs w:val="28"/>
        </w:rPr>
      </w:pPr>
    </w:p>
    <w:p w14:paraId="785F42D1" w14:textId="77777777" w:rsidR="00B14A41" w:rsidRDefault="00B14A41" w:rsidP="008B0776">
      <w:pPr>
        <w:tabs>
          <w:tab w:val="left" w:pos="4044"/>
        </w:tabs>
        <w:spacing w:after="0" w:line="360" w:lineRule="auto"/>
        <w:ind w:firstLine="709"/>
        <w:jc w:val="both"/>
        <w:rPr>
          <w:rFonts w:ascii="Times New Roman" w:hAnsi="Times New Roman" w:cs="Times New Roman"/>
          <w:sz w:val="28"/>
          <w:szCs w:val="28"/>
        </w:rPr>
      </w:pPr>
    </w:p>
    <w:p w14:paraId="79933E7D" w14:textId="77777777" w:rsidR="00B14A41" w:rsidRDefault="00B14A41" w:rsidP="008B0776">
      <w:pPr>
        <w:tabs>
          <w:tab w:val="left" w:pos="4044"/>
        </w:tabs>
        <w:spacing w:after="0" w:line="360" w:lineRule="auto"/>
        <w:ind w:firstLine="709"/>
        <w:jc w:val="both"/>
        <w:rPr>
          <w:rFonts w:ascii="Times New Roman" w:hAnsi="Times New Roman" w:cs="Times New Roman"/>
          <w:sz w:val="28"/>
          <w:szCs w:val="28"/>
        </w:rPr>
      </w:pPr>
    </w:p>
    <w:p w14:paraId="20D13746" w14:textId="77777777" w:rsidR="00B14A41" w:rsidRDefault="00B14A41" w:rsidP="008B0776">
      <w:pPr>
        <w:tabs>
          <w:tab w:val="left" w:pos="4044"/>
        </w:tabs>
        <w:spacing w:after="0" w:line="360" w:lineRule="auto"/>
        <w:ind w:firstLine="709"/>
        <w:jc w:val="both"/>
        <w:rPr>
          <w:rFonts w:ascii="Times New Roman" w:hAnsi="Times New Roman" w:cs="Times New Roman"/>
          <w:sz w:val="28"/>
          <w:szCs w:val="28"/>
        </w:rPr>
      </w:pPr>
    </w:p>
    <w:p w14:paraId="154247A2" w14:textId="77777777" w:rsidR="00B14A41" w:rsidRDefault="00B14A41" w:rsidP="008B0776">
      <w:pPr>
        <w:tabs>
          <w:tab w:val="left" w:pos="4044"/>
        </w:tabs>
        <w:spacing w:after="0" w:line="360" w:lineRule="auto"/>
        <w:ind w:firstLine="709"/>
        <w:jc w:val="both"/>
        <w:rPr>
          <w:rFonts w:ascii="Times New Roman" w:hAnsi="Times New Roman" w:cs="Times New Roman"/>
          <w:sz w:val="28"/>
          <w:szCs w:val="28"/>
        </w:rPr>
      </w:pPr>
    </w:p>
    <w:p w14:paraId="2AC2C51B" w14:textId="77777777" w:rsidR="00B14A41" w:rsidRDefault="00B14A41" w:rsidP="00273A34">
      <w:pPr>
        <w:spacing w:after="0" w:line="360" w:lineRule="auto"/>
        <w:ind w:firstLine="709"/>
        <w:jc w:val="right"/>
        <w:rPr>
          <w:rFonts w:ascii="Times New Roman" w:hAnsi="Times New Roman" w:cs="Times New Roman"/>
          <w:sz w:val="28"/>
          <w:szCs w:val="28"/>
        </w:rPr>
      </w:pPr>
    </w:p>
    <w:p w14:paraId="0D105994" w14:textId="77777777" w:rsidR="007853DE" w:rsidRPr="00B14A41" w:rsidRDefault="00B14A41" w:rsidP="00B14A41">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Таблиця 2.1 – </w:t>
      </w:r>
      <w:r w:rsidR="007853DE" w:rsidRPr="007853DE">
        <w:rPr>
          <w:rFonts w:ascii="Times New Roman" w:eastAsia="Times New Roman" w:hAnsi="Times New Roman" w:cs="Times New Roman"/>
          <w:bCs/>
          <w:sz w:val="28"/>
          <w:szCs w:val="28"/>
          <w:lang w:eastAsia="ru-RU"/>
        </w:rPr>
        <w:t>Витрати на інноваційну діяльність за джерелами фінансування, 2022–2024 роки</w:t>
      </w:r>
    </w:p>
    <w:tbl>
      <w:tblPr>
        <w:tblStyle w:val="a4"/>
        <w:tblW w:w="0" w:type="auto"/>
        <w:tblLook w:val="04A0" w:firstRow="1" w:lastRow="0" w:firstColumn="1" w:lastColumn="0" w:noHBand="0" w:noVBand="1"/>
      </w:tblPr>
      <w:tblGrid>
        <w:gridCol w:w="697"/>
        <w:gridCol w:w="1520"/>
        <w:gridCol w:w="1479"/>
        <w:gridCol w:w="2213"/>
        <w:gridCol w:w="2095"/>
        <w:gridCol w:w="1567"/>
      </w:tblGrid>
      <w:tr w:rsidR="007853DE" w:rsidRPr="007853DE" w14:paraId="26250CDC" w14:textId="77777777" w:rsidTr="00273A34">
        <w:tc>
          <w:tcPr>
            <w:tcW w:w="0" w:type="auto"/>
            <w:hideMark/>
          </w:tcPr>
          <w:p w14:paraId="47494228"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Рік</w:t>
            </w:r>
          </w:p>
        </w:tc>
        <w:tc>
          <w:tcPr>
            <w:tcW w:w="0" w:type="auto"/>
            <w:hideMark/>
          </w:tcPr>
          <w:p w14:paraId="607BC5A1"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Загальні витрати, млн грн</w:t>
            </w:r>
          </w:p>
        </w:tc>
        <w:tc>
          <w:tcPr>
            <w:tcW w:w="0" w:type="auto"/>
            <w:hideMark/>
          </w:tcPr>
          <w:p w14:paraId="0759AE2C"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Власні кошти, млн грн (%)</w:t>
            </w:r>
          </w:p>
        </w:tc>
        <w:tc>
          <w:tcPr>
            <w:tcW w:w="0" w:type="auto"/>
            <w:hideMark/>
          </w:tcPr>
          <w:p w14:paraId="167B8B0E"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Кошти держбюджету, млн грн (%)</w:t>
            </w:r>
          </w:p>
        </w:tc>
        <w:tc>
          <w:tcPr>
            <w:tcW w:w="0" w:type="auto"/>
            <w:hideMark/>
          </w:tcPr>
          <w:p w14:paraId="1C924CFD"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Кошти іноземних інвесторів, млн грн (%)</w:t>
            </w:r>
          </w:p>
        </w:tc>
        <w:tc>
          <w:tcPr>
            <w:tcW w:w="0" w:type="auto"/>
            <w:hideMark/>
          </w:tcPr>
          <w:p w14:paraId="33A04287"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Інші джерела, млн грн (%)</w:t>
            </w:r>
          </w:p>
        </w:tc>
      </w:tr>
      <w:tr w:rsidR="007853DE" w:rsidRPr="007853DE" w14:paraId="302F75A2" w14:textId="77777777" w:rsidTr="00273A34">
        <w:tc>
          <w:tcPr>
            <w:tcW w:w="0" w:type="auto"/>
            <w:hideMark/>
          </w:tcPr>
          <w:p w14:paraId="766B2943"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2022</w:t>
            </w:r>
          </w:p>
        </w:tc>
        <w:tc>
          <w:tcPr>
            <w:tcW w:w="0" w:type="auto"/>
            <w:hideMark/>
          </w:tcPr>
          <w:p w14:paraId="081AEB46"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14 220,9</w:t>
            </w:r>
          </w:p>
        </w:tc>
        <w:tc>
          <w:tcPr>
            <w:tcW w:w="0" w:type="auto"/>
            <w:hideMark/>
          </w:tcPr>
          <w:p w14:paraId="0BC0A0B1"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12 474,9 (87,7%)</w:t>
            </w:r>
          </w:p>
        </w:tc>
        <w:tc>
          <w:tcPr>
            <w:tcW w:w="0" w:type="auto"/>
            <w:hideMark/>
          </w:tcPr>
          <w:p w14:paraId="77E16BFB"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556,5 (3,9%)</w:t>
            </w:r>
          </w:p>
        </w:tc>
        <w:tc>
          <w:tcPr>
            <w:tcW w:w="0" w:type="auto"/>
            <w:hideMark/>
          </w:tcPr>
          <w:p w14:paraId="1DF8798B" w14:textId="77777777" w:rsidR="007853DE" w:rsidRPr="00E242F7" w:rsidRDefault="007853DE" w:rsidP="00E242F7">
            <w:pPr>
              <w:tabs>
                <w:tab w:val="right" w:pos="1789"/>
              </w:tabs>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42,5 (0,3%)</w:t>
            </w:r>
            <w:r w:rsidR="00FD5B9B" w:rsidRPr="00E242F7">
              <w:rPr>
                <w:rFonts w:ascii="Times New Roman" w:eastAsia="Times New Roman" w:hAnsi="Times New Roman" w:cs="Times New Roman"/>
                <w:sz w:val="24"/>
                <w:szCs w:val="24"/>
                <w:lang w:eastAsia="ru-RU"/>
              </w:rPr>
              <w:tab/>
            </w:r>
          </w:p>
        </w:tc>
        <w:tc>
          <w:tcPr>
            <w:tcW w:w="0" w:type="auto"/>
            <w:hideMark/>
          </w:tcPr>
          <w:p w14:paraId="605B78A0"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1 147,0 (8,1%)</w:t>
            </w:r>
          </w:p>
        </w:tc>
      </w:tr>
      <w:tr w:rsidR="007853DE" w:rsidRPr="007853DE" w14:paraId="4D8B64BF" w14:textId="77777777" w:rsidTr="00273A34">
        <w:tc>
          <w:tcPr>
            <w:tcW w:w="0" w:type="auto"/>
            <w:hideMark/>
          </w:tcPr>
          <w:p w14:paraId="27C083B9"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2023</w:t>
            </w:r>
          </w:p>
        </w:tc>
        <w:tc>
          <w:tcPr>
            <w:tcW w:w="0" w:type="auto"/>
            <w:hideMark/>
          </w:tcPr>
          <w:p w14:paraId="1F8A08B5"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12 180,1</w:t>
            </w:r>
          </w:p>
        </w:tc>
        <w:tc>
          <w:tcPr>
            <w:tcW w:w="0" w:type="auto"/>
            <w:hideMark/>
          </w:tcPr>
          <w:p w14:paraId="0D7CB996"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10 742,0 (88,2%)</w:t>
            </w:r>
          </w:p>
        </w:tc>
        <w:tc>
          <w:tcPr>
            <w:tcW w:w="0" w:type="auto"/>
            <w:hideMark/>
          </w:tcPr>
          <w:p w14:paraId="04E85AF4"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639,1 (5,2%)</w:t>
            </w:r>
          </w:p>
        </w:tc>
        <w:tc>
          <w:tcPr>
            <w:tcW w:w="0" w:type="auto"/>
            <w:hideMark/>
          </w:tcPr>
          <w:p w14:paraId="60F6039A"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107,0 (0,9%)</w:t>
            </w:r>
          </w:p>
        </w:tc>
        <w:tc>
          <w:tcPr>
            <w:tcW w:w="0" w:type="auto"/>
            <w:hideMark/>
          </w:tcPr>
          <w:p w14:paraId="58F5174A"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692,0 (5,7%)</w:t>
            </w:r>
          </w:p>
        </w:tc>
      </w:tr>
      <w:tr w:rsidR="007853DE" w:rsidRPr="007853DE" w14:paraId="254FEE45" w14:textId="77777777" w:rsidTr="00273A34">
        <w:tc>
          <w:tcPr>
            <w:tcW w:w="0" w:type="auto"/>
            <w:hideMark/>
          </w:tcPr>
          <w:p w14:paraId="77A4DEAE"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2024</w:t>
            </w:r>
          </w:p>
        </w:tc>
        <w:tc>
          <w:tcPr>
            <w:tcW w:w="0" w:type="auto"/>
            <w:hideMark/>
          </w:tcPr>
          <w:p w14:paraId="0AFFBD9D"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9 117,5</w:t>
            </w:r>
          </w:p>
        </w:tc>
        <w:tc>
          <w:tcPr>
            <w:tcW w:w="0" w:type="auto"/>
            <w:hideMark/>
          </w:tcPr>
          <w:p w14:paraId="1019E204"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7 704,1 (84,5%)</w:t>
            </w:r>
          </w:p>
        </w:tc>
        <w:tc>
          <w:tcPr>
            <w:tcW w:w="0" w:type="auto"/>
            <w:hideMark/>
          </w:tcPr>
          <w:p w14:paraId="4C006CD9"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227,3 (2,5%)</w:t>
            </w:r>
          </w:p>
        </w:tc>
        <w:tc>
          <w:tcPr>
            <w:tcW w:w="0" w:type="auto"/>
            <w:hideMark/>
          </w:tcPr>
          <w:p w14:paraId="475C9FEA"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107,8 (1,2%)</w:t>
            </w:r>
          </w:p>
        </w:tc>
        <w:tc>
          <w:tcPr>
            <w:tcW w:w="0" w:type="auto"/>
            <w:hideMark/>
          </w:tcPr>
          <w:p w14:paraId="476FC11A" w14:textId="77777777" w:rsidR="007853DE" w:rsidRPr="00E242F7" w:rsidRDefault="007853DE" w:rsidP="00E242F7">
            <w:pPr>
              <w:spacing w:line="360" w:lineRule="auto"/>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1 078,3 (11,8%)</w:t>
            </w:r>
          </w:p>
        </w:tc>
      </w:tr>
    </w:tbl>
    <w:p w14:paraId="06748F28" w14:textId="77777777" w:rsidR="007853DE" w:rsidRPr="007853DE" w:rsidRDefault="007853DE" w:rsidP="007853DE">
      <w:pPr>
        <w:spacing w:after="0" w:line="360" w:lineRule="auto"/>
        <w:ind w:firstLine="709"/>
        <w:jc w:val="both"/>
        <w:rPr>
          <w:rFonts w:ascii="Times New Roman" w:eastAsia="Times New Roman" w:hAnsi="Times New Roman" w:cs="Times New Roman"/>
          <w:sz w:val="28"/>
          <w:szCs w:val="28"/>
          <w:lang w:eastAsia="ru-RU"/>
        </w:rPr>
      </w:pPr>
      <w:r w:rsidRPr="007853DE">
        <w:rPr>
          <w:rFonts w:ascii="Times New Roman" w:eastAsia="Times New Roman" w:hAnsi="Times New Roman" w:cs="Times New Roman"/>
          <w:i/>
          <w:iCs/>
          <w:sz w:val="28"/>
          <w:szCs w:val="28"/>
          <w:lang w:eastAsia="ru-RU"/>
        </w:rPr>
        <w:t>Джерело: складено на основі [5, с. 104–108] та даних Державної служби статистики України [8].</w:t>
      </w:r>
    </w:p>
    <w:p w14:paraId="40A4ACF3" w14:textId="77777777" w:rsidR="00FD5B9B" w:rsidRDefault="00FD5B9B" w:rsidP="007853D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наочності представимо графічно рис.2.1.</w:t>
      </w:r>
    </w:p>
    <w:p w14:paraId="088BC1B2" w14:textId="77777777" w:rsidR="00FD5B9B" w:rsidRDefault="00FD5B9B" w:rsidP="007853D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792929E6" wp14:editId="3B395B1C">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926DDA" w14:textId="1F68AFAC" w:rsidR="00FD5B9B" w:rsidRPr="00FD5B9B" w:rsidRDefault="00FD5B9B" w:rsidP="00FD5B9B">
      <w:pPr>
        <w:spacing w:after="0" w:line="360" w:lineRule="auto"/>
        <w:ind w:firstLine="709"/>
        <w:jc w:val="both"/>
        <w:rPr>
          <w:rFonts w:ascii="Times New Roman" w:eastAsia="Times New Roman" w:hAnsi="Times New Roman" w:cs="Times New Roman"/>
          <w:sz w:val="28"/>
          <w:szCs w:val="28"/>
          <w:lang w:eastAsia="ru-RU"/>
        </w:rPr>
      </w:pPr>
      <w:r w:rsidRPr="000B236B">
        <w:rPr>
          <w:rFonts w:ascii="Times New Roman" w:eastAsia="Times New Roman" w:hAnsi="Times New Roman" w:cs="Times New Roman"/>
          <w:bCs/>
          <w:sz w:val="28"/>
          <w:szCs w:val="28"/>
          <w:lang w:val="uk-UA" w:eastAsia="ru-RU"/>
        </w:rPr>
        <w:t>Рис</w:t>
      </w:r>
      <w:r w:rsidR="00E242F7" w:rsidRPr="000B236B">
        <w:rPr>
          <w:rFonts w:ascii="Times New Roman" w:eastAsia="Times New Roman" w:hAnsi="Times New Roman" w:cs="Times New Roman"/>
          <w:bCs/>
          <w:sz w:val="28"/>
          <w:szCs w:val="28"/>
          <w:lang w:val="uk-UA" w:eastAsia="ru-RU"/>
        </w:rPr>
        <w:t>унок</w:t>
      </w:r>
      <w:r>
        <w:rPr>
          <w:rFonts w:ascii="Times New Roman" w:eastAsia="Times New Roman" w:hAnsi="Times New Roman" w:cs="Times New Roman"/>
          <w:bCs/>
          <w:sz w:val="28"/>
          <w:szCs w:val="28"/>
          <w:lang w:val="uk-UA" w:eastAsia="ru-RU"/>
        </w:rPr>
        <w:t xml:space="preserve"> 2.1 - </w:t>
      </w:r>
      <w:r w:rsidRPr="00FD5B9B">
        <w:rPr>
          <w:rFonts w:ascii="Times New Roman" w:eastAsia="Times New Roman" w:hAnsi="Times New Roman" w:cs="Times New Roman"/>
          <w:bCs/>
          <w:sz w:val="28"/>
          <w:szCs w:val="28"/>
          <w:lang w:eastAsia="ru-RU"/>
        </w:rPr>
        <w:t>Витрати на інноваційну діяльність за джерелами фінансування, 2022–2024 роки</w:t>
      </w:r>
    </w:p>
    <w:p w14:paraId="308D3A22" w14:textId="77777777" w:rsidR="008B0776" w:rsidRDefault="008B0776" w:rsidP="008B0776">
      <w:pPr>
        <w:spacing w:after="0" w:line="360" w:lineRule="auto"/>
        <w:ind w:firstLine="709"/>
        <w:jc w:val="both"/>
        <w:rPr>
          <w:rFonts w:ascii="Times New Roman" w:eastAsia="Times New Roman" w:hAnsi="Times New Roman" w:cs="Times New Roman"/>
          <w:sz w:val="28"/>
          <w:szCs w:val="28"/>
          <w:lang w:val="uk-UA" w:eastAsia="ru-RU"/>
        </w:rPr>
      </w:pPr>
    </w:p>
    <w:p w14:paraId="34FC0098" w14:textId="77777777" w:rsidR="008B0776" w:rsidRDefault="008B0776" w:rsidP="008B0776">
      <w:pPr>
        <w:spacing w:after="0" w:line="360" w:lineRule="auto"/>
        <w:ind w:firstLine="709"/>
        <w:jc w:val="both"/>
        <w:rPr>
          <w:rFonts w:ascii="Times New Roman" w:eastAsia="Times New Roman" w:hAnsi="Times New Roman" w:cs="Times New Roman"/>
          <w:sz w:val="28"/>
          <w:szCs w:val="28"/>
          <w:lang w:val="uk-UA" w:eastAsia="ru-RU"/>
        </w:rPr>
      </w:pPr>
      <w:r w:rsidRPr="008B0776">
        <w:rPr>
          <w:rFonts w:ascii="Times New Roman" w:eastAsia="Times New Roman" w:hAnsi="Times New Roman" w:cs="Times New Roman"/>
          <w:sz w:val="28"/>
          <w:szCs w:val="28"/>
          <w:lang w:eastAsia="ru-RU"/>
        </w:rPr>
        <w:t xml:space="preserve">Дані Таблиці 2.1 свідчать про значне скорочення загальних витрат на інноваційну діяльність на 35,9% за три роки – з 14 220,9 млн грн у 2022 році до 9 117,5 млн грн у 2024 році. Це скорочення може бути пояснене економічними труднощами, зокрема воєнним станом, який призвів до зниження прибутків підприємств і перерозподілу бюджетних ресурсів на оборонні потреби [19, с. 64]. </w:t>
      </w:r>
    </w:p>
    <w:p w14:paraId="42AFA3AE"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Частка власних коштів залишається стабільно високою, коливаючись у межах 84,5–88,2%, що підкреслює обмеженість доступу до зовнішнього фінансування. Водночас частка інших джерел (гранти, кредити міжнародних організацій, краудфандинг) зросла з 8,1% у 2022 році до 11,8% у 2024 році, що є позитивною тенденцією, хоча їхній обсяг залишається недостатнім для суттєвого впливу на інноваційний розвиток.</w:t>
      </w:r>
    </w:p>
    <w:p w14:paraId="67272998" w14:textId="77777777" w:rsidR="00FD5B9B"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Для поглиблення аналізу розглянемо історичні дані за 2017–2019 роки, які ілюструють довгострокові тенденції у фінансуванні інноваційної діяльності промислових підприємств (Таблиця 2.2).</w:t>
      </w:r>
    </w:p>
    <w:p w14:paraId="64738ED3" w14:textId="77777777" w:rsidR="007853DE" w:rsidRPr="007853DE" w:rsidRDefault="00B14A41" w:rsidP="00B14A41">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eastAsia="ru-RU"/>
        </w:rPr>
        <w:t>Таблиця 2.2 –</w:t>
      </w:r>
      <w:r>
        <w:rPr>
          <w:rFonts w:ascii="Times New Roman" w:eastAsia="Times New Roman" w:hAnsi="Times New Roman" w:cs="Times New Roman"/>
          <w:bCs/>
          <w:sz w:val="28"/>
          <w:szCs w:val="28"/>
          <w:lang w:val="uk-UA" w:eastAsia="ru-RU"/>
        </w:rPr>
        <w:t xml:space="preserve"> </w:t>
      </w:r>
      <w:r w:rsidR="007853DE" w:rsidRPr="007853DE">
        <w:rPr>
          <w:rFonts w:ascii="Times New Roman" w:eastAsia="Times New Roman" w:hAnsi="Times New Roman" w:cs="Times New Roman"/>
          <w:bCs/>
          <w:sz w:val="28"/>
          <w:szCs w:val="28"/>
          <w:lang w:val="uk-UA" w:eastAsia="ru-RU"/>
        </w:rPr>
        <w:t>Джерела фінансування інноваційної діяльності промислових підприємств, 2017–2019 роки</w:t>
      </w:r>
    </w:p>
    <w:tbl>
      <w:tblPr>
        <w:tblStyle w:val="a4"/>
        <w:tblW w:w="0" w:type="auto"/>
        <w:tblLook w:val="04A0" w:firstRow="1" w:lastRow="0" w:firstColumn="1" w:lastColumn="0" w:noHBand="0" w:noVBand="1"/>
      </w:tblPr>
      <w:tblGrid>
        <w:gridCol w:w="696"/>
        <w:gridCol w:w="2234"/>
        <w:gridCol w:w="1976"/>
        <w:gridCol w:w="4665"/>
      </w:tblGrid>
      <w:tr w:rsidR="007853DE" w:rsidRPr="007853DE" w14:paraId="36B0A8F2" w14:textId="77777777" w:rsidTr="00273A34">
        <w:tc>
          <w:tcPr>
            <w:tcW w:w="0" w:type="auto"/>
            <w:hideMark/>
          </w:tcPr>
          <w:p w14:paraId="403B0FFE"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Рік</w:t>
            </w:r>
          </w:p>
        </w:tc>
        <w:tc>
          <w:tcPr>
            <w:tcW w:w="0" w:type="auto"/>
            <w:hideMark/>
          </w:tcPr>
          <w:p w14:paraId="34E146DC"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Витрати на інновації, млн грн</w:t>
            </w:r>
          </w:p>
        </w:tc>
        <w:tc>
          <w:tcPr>
            <w:tcW w:w="0" w:type="auto"/>
            <w:hideMark/>
          </w:tcPr>
          <w:p w14:paraId="4168399E" w14:textId="77777777" w:rsidR="007853DE" w:rsidRPr="00E242F7" w:rsidRDefault="007853DE"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eastAsia="ru-RU"/>
              </w:rPr>
              <w:t>Власні кошти, млн грн (%)</w:t>
            </w:r>
          </w:p>
        </w:tc>
        <w:tc>
          <w:tcPr>
            <w:tcW w:w="0" w:type="auto"/>
            <w:hideMark/>
          </w:tcPr>
          <w:p w14:paraId="5677381E" w14:textId="77777777" w:rsidR="007853DE" w:rsidRPr="00E242F7" w:rsidRDefault="00273A34" w:rsidP="00E242F7">
            <w:pPr>
              <w:spacing w:line="360" w:lineRule="auto"/>
              <w:jc w:val="both"/>
              <w:rPr>
                <w:rFonts w:ascii="Times New Roman" w:eastAsia="Times New Roman" w:hAnsi="Times New Roman" w:cs="Times New Roman"/>
                <w:bCs/>
                <w:sz w:val="24"/>
                <w:szCs w:val="24"/>
                <w:lang w:eastAsia="ru-RU"/>
              </w:rPr>
            </w:pPr>
            <w:r w:rsidRPr="00E242F7">
              <w:rPr>
                <w:rFonts w:ascii="Times New Roman" w:eastAsia="Times New Roman" w:hAnsi="Times New Roman" w:cs="Times New Roman"/>
                <w:bCs/>
                <w:sz w:val="24"/>
                <w:szCs w:val="24"/>
                <w:lang w:val="uk-UA" w:eastAsia="ru-RU"/>
              </w:rPr>
              <w:t>І</w:t>
            </w:r>
            <w:r w:rsidR="007853DE" w:rsidRPr="00E242F7">
              <w:rPr>
                <w:rFonts w:ascii="Times New Roman" w:eastAsia="Times New Roman" w:hAnsi="Times New Roman" w:cs="Times New Roman"/>
                <w:bCs/>
                <w:sz w:val="24"/>
                <w:szCs w:val="24"/>
                <w:lang w:eastAsia="ru-RU"/>
              </w:rPr>
              <w:t>нші джерела (включаючи держбюджет, іноземні інвестиції), млн грн (%)</w:t>
            </w:r>
          </w:p>
        </w:tc>
      </w:tr>
      <w:tr w:rsidR="007853DE" w:rsidRPr="007853DE" w14:paraId="74A531B4" w14:textId="77777777" w:rsidTr="00273A34">
        <w:tc>
          <w:tcPr>
            <w:tcW w:w="0" w:type="auto"/>
            <w:hideMark/>
          </w:tcPr>
          <w:p w14:paraId="324E21C8"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2017</w:t>
            </w:r>
          </w:p>
        </w:tc>
        <w:tc>
          <w:tcPr>
            <w:tcW w:w="0" w:type="auto"/>
            <w:hideMark/>
          </w:tcPr>
          <w:p w14:paraId="7A72D5A3"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9 117,5</w:t>
            </w:r>
          </w:p>
        </w:tc>
        <w:tc>
          <w:tcPr>
            <w:tcW w:w="0" w:type="auto"/>
            <w:hideMark/>
          </w:tcPr>
          <w:p w14:paraId="227AC235" w14:textId="77777777" w:rsidR="007853DE" w:rsidRPr="00E242F7" w:rsidRDefault="00273A34"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7</w:t>
            </w:r>
            <w:r w:rsidR="007853DE" w:rsidRPr="00E242F7">
              <w:rPr>
                <w:rFonts w:ascii="Times New Roman" w:eastAsia="Times New Roman" w:hAnsi="Times New Roman" w:cs="Times New Roman"/>
                <w:sz w:val="24"/>
                <w:szCs w:val="24"/>
                <w:lang w:eastAsia="ru-RU"/>
              </w:rPr>
              <w:t>704,1 (84,5%)</w:t>
            </w:r>
          </w:p>
        </w:tc>
        <w:tc>
          <w:tcPr>
            <w:tcW w:w="0" w:type="auto"/>
            <w:hideMark/>
          </w:tcPr>
          <w:p w14:paraId="5A79259F"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1 413,4 (15,5%)</w:t>
            </w:r>
          </w:p>
        </w:tc>
      </w:tr>
      <w:tr w:rsidR="007853DE" w:rsidRPr="007853DE" w14:paraId="26407C1B" w14:textId="77777777" w:rsidTr="00273A34">
        <w:tc>
          <w:tcPr>
            <w:tcW w:w="0" w:type="auto"/>
            <w:hideMark/>
          </w:tcPr>
          <w:p w14:paraId="0070CAA5"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2018</w:t>
            </w:r>
          </w:p>
        </w:tc>
        <w:tc>
          <w:tcPr>
            <w:tcW w:w="0" w:type="auto"/>
            <w:hideMark/>
          </w:tcPr>
          <w:p w14:paraId="021ABFFC"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12 180,1</w:t>
            </w:r>
          </w:p>
        </w:tc>
        <w:tc>
          <w:tcPr>
            <w:tcW w:w="0" w:type="auto"/>
            <w:hideMark/>
          </w:tcPr>
          <w:p w14:paraId="5743E82F" w14:textId="77777777" w:rsidR="007853DE" w:rsidRPr="00E242F7" w:rsidRDefault="00273A34"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10</w:t>
            </w:r>
            <w:r w:rsidR="007853DE" w:rsidRPr="00E242F7">
              <w:rPr>
                <w:rFonts w:ascii="Times New Roman" w:eastAsia="Times New Roman" w:hAnsi="Times New Roman" w:cs="Times New Roman"/>
                <w:sz w:val="24"/>
                <w:szCs w:val="24"/>
                <w:lang w:eastAsia="ru-RU"/>
              </w:rPr>
              <w:t>742,0 (88,2%)</w:t>
            </w:r>
          </w:p>
        </w:tc>
        <w:tc>
          <w:tcPr>
            <w:tcW w:w="0" w:type="auto"/>
            <w:hideMark/>
          </w:tcPr>
          <w:p w14:paraId="632F3CE8"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1 438,1 (11,8%)</w:t>
            </w:r>
          </w:p>
        </w:tc>
      </w:tr>
      <w:tr w:rsidR="007853DE" w:rsidRPr="007853DE" w14:paraId="74DDB152" w14:textId="77777777" w:rsidTr="00273A34">
        <w:tc>
          <w:tcPr>
            <w:tcW w:w="0" w:type="auto"/>
            <w:hideMark/>
          </w:tcPr>
          <w:p w14:paraId="12E5D9E6" w14:textId="77777777" w:rsidR="007853DE" w:rsidRPr="00E242F7" w:rsidRDefault="007853DE"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2019</w:t>
            </w:r>
          </w:p>
        </w:tc>
        <w:tc>
          <w:tcPr>
            <w:tcW w:w="0" w:type="auto"/>
            <w:hideMark/>
          </w:tcPr>
          <w:p w14:paraId="16E507FA"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14 220,9</w:t>
            </w:r>
          </w:p>
        </w:tc>
        <w:tc>
          <w:tcPr>
            <w:tcW w:w="0" w:type="auto"/>
            <w:hideMark/>
          </w:tcPr>
          <w:p w14:paraId="6B6FB6DE" w14:textId="77777777" w:rsidR="007853DE" w:rsidRPr="00E242F7" w:rsidRDefault="00273A34" w:rsidP="00E242F7">
            <w:pPr>
              <w:spacing w:line="360" w:lineRule="auto"/>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12</w:t>
            </w:r>
            <w:r w:rsidR="007853DE" w:rsidRPr="00E242F7">
              <w:rPr>
                <w:rFonts w:ascii="Times New Roman" w:eastAsia="Times New Roman" w:hAnsi="Times New Roman" w:cs="Times New Roman"/>
                <w:sz w:val="24"/>
                <w:szCs w:val="24"/>
                <w:lang w:eastAsia="ru-RU"/>
              </w:rPr>
              <w:t>474,9 (87,7%)</w:t>
            </w:r>
          </w:p>
        </w:tc>
        <w:tc>
          <w:tcPr>
            <w:tcW w:w="0" w:type="auto"/>
            <w:hideMark/>
          </w:tcPr>
          <w:p w14:paraId="37C75391" w14:textId="77777777" w:rsidR="007853DE" w:rsidRPr="00E242F7" w:rsidRDefault="007853DE" w:rsidP="00E242F7">
            <w:pPr>
              <w:spacing w:line="360" w:lineRule="auto"/>
              <w:ind w:firstLine="709"/>
              <w:jc w:val="both"/>
              <w:rPr>
                <w:rFonts w:ascii="Times New Roman" w:eastAsia="Times New Roman" w:hAnsi="Times New Roman" w:cs="Times New Roman"/>
                <w:sz w:val="24"/>
                <w:szCs w:val="24"/>
                <w:lang w:eastAsia="ru-RU"/>
              </w:rPr>
            </w:pPr>
            <w:r w:rsidRPr="00E242F7">
              <w:rPr>
                <w:rFonts w:ascii="Times New Roman" w:eastAsia="Times New Roman" w:hAnsi="Times New Roman" w:cs="Times New Roman"/>
                <w:sz w:val="24"/>
                <w:szCs w:val="24"/>
                <w:lang w:eastAsia="ru-RU"/>
              </w:rPr>
              <w:t>1 746,0 (12,3%)</w:t>
            </w:r>
          </w:p>
        </w:tc>
      </w:tr>
    </w:tbl>
    <w:p w14:paraId="77E89A36" w14:textId="77777777" w:rsidR="007853DE" w:rsidRPr="007853DE" w:rsidRDefault="007853DE" w:rsidP="007853DE">
      <w:pPr>
        <w:spacing w:after="0" w:line="360" w:lineRule="auto"/>
        <w:ind w:firstLine="709"/>
        <w:jc w:val="both"/>
        <w:rPr>
          <w:rFonts w:ascii="Times New Roman" w:eastAsia="Times New Roman" w:hAnsi="Times New Roman" w:cs="Times New Roman"/>
          <w:sz w:val="28"/>
          <w:szCs w:val="28"/>
          <w:lang w:eastAsia="ru-RU"/>
        </w:rPr>
      </w:pPr>
      <w:r w:rsidRPr="007853DE">
        <w:rPr>
          <w:rFonts w:ascii="Times New Roman" w:eastAsia="Times New Roman" w:hAnsi="Times New Roman" w:cs="Times New Roman"/>
          <w:i/>
          <w:iCs/>
          <w:sz w:val="28"/>
          <w:szCs w:val="28"/>
          <w:lang w:eastAsia="ru-RU"/>
        </w:rPr>
        <w:t>Джерело: складено на основі [7].</w:t>
      </w:r>
    </w:p>
    <w:p w14:paraId="3170FA89" w14:textId="77777777" w:rsidR="008B0776" w:rsidRDefault="008B0776" w:rsidP="008B0776">
      <w:pPr>
        <w:spacing w:after="0" w:line="360" w:lineRule="auto"/>
        <w:ind w:firstLine="709"/>
        <w:jc w:val="both"/>
        <w:rPr>
          <w:rFonts w:ascii="Times New Roman" w:eastAsia="Times New Roman" w:hAnsi="Times New Roman" w:cs="Times New Roman"/>
          <w:sz w:val="28"/>
          <w:szCs w:val="28"/>
          <w:lang w:val="uk-UA" w:eastAsia="ru-RU"/>
        </w:rPr>
      </w:pPr>
    </w:p>
    <w:p w14:paraId="5648296B"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val="uk-UA" w:eastAsia="ru-RU"/>
        </w:rPr>
        <w:t xml:space="preserve">Історичні дані підтверджують стабільно високу залежність від власних коштів (84,5–88,2%) протягом 2017–2019 років, що узгоджується з тенденціями 2022–2024 років. </w:t>
      </w:r>
      <w:r w:rsidRPr="008B0776">
        <w:rPr>
          <w:rFonts w:ascii="Times New Roman" w:eastAsia="Times New Roman" w:hAnsi="Times New Roman" w:cs="Times New Roman"/>
          <w:sz w:val="28"/>
          <w:szCs w:val="28"/>
          <w:lang w:eastAsia="ru-RU"/>
        </w:rPr>
        <w:t>Це свідчить про системний характер проблеми, яка полягає у недостатній диверсифікації джерел фінансування. Частка інших джерел у 2017–2019 роках коливалася в межах 11,8–15,5%, що є дещо вищим показником порівняно з 2024 роком (11,8%), але все ще недостатнім для забезпечення сталого інноваційного розвитку.</w:t>
      </w:r>
    </w:p>
    <w:p w14:paraId="2969CAEF"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Для оцінки розподілу інноваційних витрат за секторами економіки розглянемо витрати на інноваційну діяльність у ключових галузях – промисловості, інформаційних технологіях, сільському господарстві та інших секторах – за 2022–2024 роки (Таблиця 2.3).</w:t>
      </w:r>
    </w:p>
    <w:p w14:paraId="5A9AFD3A" w14:textId="77777777" w:rsidR="007853DE" w:rsidRPr="007853DE" w:rsidRDefault="00B14A41" w:rsidP="00B14A41">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Таблиця 2.3 –</w:t>
      </w:r>
      <w:r>
        <w:rPr>
          <w:rFonts w:ascii="Times New Roman" w:eastAsia="Times New Roman" w:hAnsi="Times New Roman" w:cs="Times New Roman"/>
          <w:bCs/>
          <w:sz w:val="28"/>
          <w:szCs w:val="28"/>
          <w:lang w:val="uk-UA" w:eastAsia="ru-RU"/>
        </w:rPr>
        <w:t xml:space="preserve"> </w:t>
      </w:r>
      <w:r w:rsidR="007853DE" w:rsidRPr="007853DE">
        <w:rPr>
          <w:rFonts w:ascii="Times New Roman" w:eastAsia="Times New Roman" w:hAnsi="Times New Roman" w:cs="Times New Roman"/>
          <w:bCs/>
          <w:sz w:val="28"/>
          <w:szCs w:val="28"/>
          <w:lang w:eastAsia="ru-RU"/>
        </w:rPr>
        <w:t>Витрати на інноваційну діяльність за видами економічної діяльності, 2022–2024 роки</w:t>
      </w:r>
    </w:p>
    <w:tbl>
      <w:tblPr>
        <w:tblStyle w:val="a4"/>
        <w:tblW w:w="0" w:type="auto"/>
        <w:tblLook w:val="04A0" w:firstRow="1" w:lastRow="0" w:firstColumn="1" w:lastColumn="0" w:noHBand="0" w:noVBand="1"/>
      </w:tblPr>
      <w:tblGrid>
        <w:gridCol w:w="696"/>
        <w:gridCol w:w="2269"/>
        <w:gridCol w:w="2461"/>
        <w:gridCol w:w="2431"/>
        <w:gridCol w:w="1714"/>
      </w:tblGrid>
      <w:tr w:rsidR="007853DE" w:rsidRPr="00B14A41" w14:paraId="5D7078C1" w14:textId="77777777" w:rsidTr="00273A34">
        <w:tc>
          <w:tcPr>
            <w:tcW w:w="0" w:type="auto"/>
            <w:hideMark/>
          </w:tcPr>
          <w:p w14:paraId="06F18213" w14:textId="77777777" w:rsidR="007853DE" w:rsidRPr="00B14A41" w:rsidRDefault="007853DE" w:rsidP="00B14A41">
            <w:pPr>
              <w:jc w:val="both"/>
              <w:rPr>
                <w:rFonts w:ascii="Times New Roman" w:eastAsia="Times New Roman" w:hAnsi="Times New Roman" w:cs="Times New Roman"/>
                <w:bCs/>
                <w:sz w:val="24"/>
                <w:szCs w:val="28"/>
                <w:lang w:eastAsia="ru-RU"/>
              </w:rPr>
            </w:pPr>
            <w:r w:rsidRPr="00B14A41">
              <w:rPr>
                <w:rFonts w:ascii="Times New Roman" w:eastAsia="Times New Roman" w:hAnsi="Times New Roman" w:cs="Times New Roman"/>
                <w:bCs/>
                <w:sz w:val="24"/>
                <w:szCs w:val="28"/>
                <w:lang w:eastAsia="ru-RU"/>
              </w:rPr>
              <w:t>Рік</w:t>
            </w:r>
          </w:p>
        </w:tc>
        <w:tc>
          <w:tcPr>
            <w:tcW w:w="0" w:type="auto"/>
            <w:hideMark/>
          </w:tcPr>
          <w:p w14:paraId="7A17CADF" w14:textId="77777777" w:rsidR="007853DE" w:rsidRPr="00B14A41" w:rsidRDefault="007853DE" w:rsidP="00B14A41">
            <w:pPr>
              <w:jc w:val="both"/>
              <w:rPr>
                <w:rFonts w:ascii="Times New Roman" w:eastAsia="Times New Roman" w:hAnsi="Times New Roman" w:cs="Times New Roman"/>
                <w:bCs/>
                <w:sz w:val="24"/>
                <w:szCs w:val="28"/>
                <w:lang w:eastAsia="ru-RU"/>
              </w:rPr>
            </w:pPr>
            <w:r w:rsidRPr="00B14A41">
              <w:rPr>
                <w:rFonts w:ascii="Times New Roman" w:eastAsia="Times New Roman" w:hAnsi="Times New Roman" w:cs="Times New Roman"/>
                <w:bCs/>
                <w:sz w:val="24"/>
                <w:szCs w:val="28"/>
                <w:lang w:eastAsia="ru-RU"/>
              </w:rPr>
              <w:t>Промисловість, млн грн (%)</w:t>
            </w:r>
          </w:p>
        </w:tc>
        <w:tc>
          <w:tcPr>
            <w:tcW w:w="0" w:type="auto"/>
            <w:hideMark/>
          </w:tcPr>
          <w:p w14:paraId="7DCEC126" w14:textId="77777777" w:rsidR="007853DE" w:rsidRPr="00B14A41" w:rsidRDefault="007853DE" w:rsidP="00B14A41">
            <w:pPr>
              <w:jc w:val="both"/>
              <w:rPr>
                <w:rFonts w:ascii="Times New Roman" w:eastAsia="Times New Roman" w:hAnsi="Times New Roman" w:cs="Times New Roman"/>
                <w:bCs/>
                <w:sz w:val="24"/>
                <w:szCs w:val="28"/>
                <w:lang w:eastAsia="ru-RU"/>
              </w:rPr>
            </w:pPr>
            <w:r w:rsidRPr="00B14A41">
              <w:rPr>
                <w:rFonts w:ascii="Times New Roman" w:eastAsia="Times New Roman" w:hAnsi="Times New Roman" w:cs="Times New Roman"/>
                <w:bCs/>
                <w:sz w:val="24"/>
                <w:szCs w:val="28"/>
                <w:lang w:eastAsia="ru-RU"/>
              </w:rPr>
              <w:t>Інформаційні технології, млн грн (%)</w:t>
            </w:r>
          </w:p>
        </w:tc>
        <w:tc>
          <w:tcPr>
            <w:tcW w:w="0" w:type="auto"/>
            <w:hideMark/>
          </w:tcPr>
          <w:p w14:paraId="7FD4BD9F" w14:textId="77777777" w:rsidR="007853DE" w:rsidRPr="00B14A41" w:rsidRDefault="007853DE" w:rsidP="00B14A41">
            <w:pPr>
              <w:jc w:val="both"/>
              <w:rPr>
                <w:rFonts w:ascii="Times New Roman" w:eastAsia="Times New Roman" w:hAnsi="Times New Roman" w:cs="Times New Roman"/>
                <w:bCs/>
                <w:sz w:val="24"/>
                <w:szCs w:val="28"/>
                <w:lang w:eastAsia="ru-RU"/>
              </w:rPr>
            </w:pPr>
            <w:r w:rsidRPr="00B14A41">
              <w:rPr>
                <w:rFonts w:ascii="Times New Roman" w:eastAsia="Times New Roman" w:hAnsi="Times New Roman" w:cs="Times New Roman"/>
                <w:bCs/>
                <w:sz w:val="24"/>
                <w:szCs w:val="28"/>
                <w:lang w:eastAsia="ru-RU"/>
              </w:rPr>
              <w:t>Сільське господарство, млн грн (%)</w:t>
            </w:r>
          </w:p>
        </w:tc>
        <w:tc>
          <w:tcPr>
            <w:tcW w:w="0" w:type="auto"/>
            <w:hideMark/>
          </w:tcPr>
          <w:p w14:paraId="1F7B6F7B" w14:textId="77777777" w:rsidR="007853DE" w:rsidRPr="00B14A41" w:rsidRDefault="007853DE" w:rsidP="00B14A41">
            <w:pPr>
              <w:jc w:val="both"/>
              <w:rPr>
                <w:rFonts w:ascii="Times New Roman" w:eastAsia="Times New Roman" w:hAnsi="Times New Roman" w:cs="Times New Roman"/>
                <w:bCs/>
                <w:sz w:val="24"/>
                <w:szCs w:val="28"/>
                <w:lang w:eastAsia="ru-RU"/>
              </w:rPr>
            </w:pPr>
            <w:r w:rsidRPr="00B14A41">
              <w:rPr>
                <w:rFonts w:ascii="Times New Roman" w:eastAsia="Times New Roman" w:hAnsi="Times New Roman" w:cs="Times New Roman"/>
                <w:bCs/>
                <w:sz w:val="24"/>
                <w:szCs w:val="28"/>
                <w:lang w:eastAsia="ru-RU"/>
              </w:rPr>
              <w:t>Інші сектори, млн грн (%)</w:t>
            </w:r>
          </w:p>
        </w:tc>
      </w:tr>
      <w:tr w:rsidR="007853DE" w:rsidRPr="00B14A41" w14:paraId="4930D0D0" w14:textId="77777777" w:rsidTr="00273A34">
        <w:tc>
          <w:tcPr>
            <w:tcW w:w="0" w:type="auto"/>
            <w:hideMark/>
          </w:tcPr>
          <w:p w14:paraId="3ED5715C"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2022</w:t>
            </w:r>
          </w:p>
        </w:tc>
        <w:tc>
          <w:tcPr>
            <w:tcW w:w="0" w:type="auto"/>
            <w:hideMark/>
          </w:tcPr>
          <w:p w14:paraId="1D6AA9D2"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9 246,6 (65,0%)</w:t>
            </w:r>
          </w:p>
        </w:tc>
        <w:tc>
          <w:tcPr>
            <w:tcW w:w="0" w:type="auto"/>
            <w:hideMark/>
          </w:tcPr>
          <w:p w14:paraId="20019723"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2 844,2 (20,0%)</w:t>
            </w:r>
          </w:p>
        </w:tc>
        <w:tc>
          <w:tcPr>
            <w:tcW w:w="0" w:type="auto"/>
            <w:hideMark/>
          </w:tcPr>
          <w:p w14:paraId="780FD5E1"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1 422,1 (10,0%)</w:t>
            </w:r>
          </w:p>
        </w:tc>
        <w:tc>
          <w:tcPr>
            <w:tcW w:w="0" w:type="auto"/>
            <w:hideMark/>
          </w:tcPr>
          <w:p w14:paraId="128D1379"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708,0 (5,0%)</w:t>
            </w:r>
          </w:p>
        </w:tc>
      </w:tr>
      <w:tr w:rsidR="007853DE" w:rsidRPr="00B14A41" w14:paraId="0DB3194E" w14:textId="77777777" w:rsidTr="00273A34">
        <w:tc>
          <w:tcPr>
            <w:tcW w:w="0" w:type="auto"/>
            <w:hideMark/>
          </w:tcPr>
          <w:p w14:paraId="70C79CD1"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2023</w:t>
            </w:r>
          </w:p>
        </w:tc>
        <w:tc>
          <w:tcPr>
            <w:tcW w:w="0" w:type="auto"/>
            <w:hideMark/>
          </w:tcPr>
          <w:p w14:paraId="34D7F54A"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7 308,1 (60,0%)</w:t>
            </w:r>
          </w:p>
        </w:tc>
        <w:tc>
          <w:tcPr>
            <w:tcW w:w="0" w:type="auto"/>
            <w:hideMark/>
          </w:tcPr>
          <w:p w14:paraId="5BE9D8FE"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2 679,6 (22,0%)</w:t>
            </w:r>
          </w:p>
        </w:tc>
        <w:tc>
          <w:tcPr>
            <w:tcW w:w="0" w:type="auto"/>
            <w:hideMark/>
          </w:tcPr>
          <w:p w14:paraId="3536828F"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1 218,0 (10,0%)</w:t>
            </w:r>
          </w:p>
        </w:tc>
        <w:tc>
          <w:tcPr>
            <w:tcW w:w="0" w:type="auto"/>
            <w:hideMark/>
          </w:tcPr>
          <w:p w14:paraId="073B6C36"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974,4 (8,0%)</w:t>
            </w:r>
          </w:p>
        </w:tc>
      </w:tr>
      <w:tr w:rsidR="007853DE" w:rsidRPr="00B14A41" w14:paraId="1C3C9F20" w14:textId="77777777" w:rsidTr="00273A34">
        <w:tc>
          <w:tcPr>
            <w:tcW w:w="0" w:type="auto"/>
            <w:hideMark/>
          </w:tcPr>
          <w:p w14:paraId="2ADE75F7"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2024</w:t>
            </w:r>
          </w:p>
        </w:tc>
        <w:tc>
          <w:tcPr>
            <w:tcW w:w="0" w:type="auto"/>
            <w:hideMark/>
          </w:tcPr>
          <w:p w14:paraId="33605A26"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5 470,5 (60,0%)</w:t>
            </w:r>
          </w:p>
        </w:tc>
        <w:tc>
          <w:tcPr>
            <w:tcW w:w="0" w:type="auto"/>
            <w:hideMark/>
          </w:tcPr>
          <w:p w14:paraId="126F4058"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2 003,7 (22,0%)</w:t>
            </w:r>
          </w:p>
        </w:tc>
        <w:tc>
          <w:tcPr>
            <w:tcW w:w="0" w:type="auto"/>
            <w:hideMark/>
          </w:tcPr>
          <w:p w14:paraId="51042FF5"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820,6 (9,0%)</w:t>
            </w:r>
          </w:p>
        </w:tc>
        <w:tc>
          <w:tcPr>
            <w:tcW w:w="0" w:type="auto"/>
            <w:hideMark/>
          </w:tcPr>
          <w:p w14:paraId="28B0A87D" w14:textId="77777777" w:rsidR="007853DE" w:rsidRPr="00B14A41" w:rsidRDefault="007853DE" w:rsidP="00B14A41">
            <w:pPr>
              <w:jc w:val="both"/>
              <w:rPr>
                <w:rFonts w:ascii="Times New Roman" w:eastAsia="Times New Roman" w:hAnsi="Times New Roman" w:cs="Times New Roman"/>
                <w:sz w:val="24"/>
                <w:szCs w:val="28"/>
                <w:lang w:eastAsia="ru-RU"/>
              </w:rPr>
            </w:pPr>
            <w:r w:rsidRPr="00B14A41">
              <w:rPr>
                <w:rFonts w:ascii="Times New Roman" w:eastAsia="Times New Roman" w:hAnsi="Times New Roman" w:cs="Times New Roman"/>
                <w:sz w:val="24"/>
                <w:szCs w:val="28"/>
                <w:lang w:eastAsia="ru-RU"/>
              </w:rPr>
              <w:t>822,7 (9,0%)</w:t>
            </w:r>
          </w:p>
        </w:tc>
      </w:tr>
    </w:tbl>
    <w:p w14:paraId="5CB14EB0" w14:textId="77777777" w:rsidR="00273A34" w:rsidRDefault="007853DE" w:rsidP="007853DE">
      <w:pPr>
        <w:spacing w:after="0" w:line="360" w:lineRule="auto"/>
        <w:ind w:firstLine="709"/>
        <w:jc w:val="both"/>
        <w:rPr>
          <w:rFonts w:ascii="Times New Roman" w:eastAsia="Times New Roman" w:hAnsi="Times New Roman" w:cs="Times New Roman"/>
          <w:i/>
          <w:iCs/>
          <w:sz w:val="28"/>
          <w:szCs w:val="28"/>
          <w:lang w:val="uk-UA" w:eastAsia="ru-RU"/>
        </w:rPr>
      </w:pPr>
      <w:r w:rsidRPr="007853DE">
        <w:rPr>
          <w:rFonts w:ascii="Times New Roman" w:eastAsia="Times New Roman" w:hAnsi="Times New Roman" w:cs="Times New Roman"/>
          <w:i/>
          <w:iCs/>
          <w:sz w:val="28"/>
          <w:szCs w:val="28"/>
          <w:lang w:eastAsia="ru-RU"/>
        </w:rPr>
        <w:t xml:space="preserve">Джерело: складено на основі [13] </w:t>
      </w:r>
    </w:p>
    <w:p w14:paraId="19249B65" w14:textId="77777777" w:rsidR="00FD5B9B" w:rsidRPr="00FD5B9B" w:rsidRDefault="00FD5B9B" w:rsidP="00FD5B9B">
      <w:pPr>
        <w:spacing w:after="0" w:line="360" w:lineRule="auto"/>
        <w:ind w:firstLine="709"/>
        <w:jc w:val="both"/>
        <w:rPr>
          <w:rFonts w:ascii="Times New Roman" w:eastAsia="Times New Roman" w:hAnsi="Times New Roman" w:cs="Times New Roman"/>
          <w:bCs/>
          <w:sz w:val="28"/>
          <w:szCs w:val="28"/>
          <w:lang w:val="uk-UA" w:eastAsia="ru-RU"/>
        </w:rPr>
      </w:pPr>
      <w:r w:rsidRPr="00FD5B9B">
        <w:rPr>
          <w:rFonts w:ascii="Times New Roman" w:eastAsia="Times New Roman" w:hAnsi="Times New Roman" w:cs="Times New Roman"/>
          <w:bCs/>
          <w:sz w:val="28"/>
          <w:szCs w:val="28"/>
          <w:lang w:val="uk-UA" w:eastAsia="ru-RU"/>
        </w:rPr>
        <w:t>Для наочності представимо графічно рис.2.2.</w:t>
      </w:r>
    </w:p>
    <w:p w14:paraId="2C6A22EC" w14:textId="77777777" w:rsidR="00273A34" w:rsidRPr="00FD5B9B" w:rsidRDefault="00FD5B9B" w:rsidP="007853DE">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22691312" wp14:editId="340D6179">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CA782B" w14:textId="0F76C2D9" w:rsidR="00FD5B9B" w:rsidRPr="00FD5B9B" w:rsidRDefault="00FD5B9B" w:rsidP="00FD5B9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Рис</w:t>
      </w:r>
      <w:r w:rsidR="00E242F7">
        <w:rPr>
          <w:rFonts w:ascii="Times New Roman" w:eastAsia="Times New Roman" w:hAnsi="Times New Roman" w:cs="Times New Roman"/>
          <w:bCs/>
          <w:sz w:val="28"/>
          <w:szCs w:val="28"/>
          <w:lang w:val="uk-UA" w:eastAsia="ru-RU"/>
        </w:rPr>
        <w:t>унок</w:t>
      </w:r>
      <w:r>
        <w:rPr>
          <w:rFonts w:ascii="Times New Roman" w:eastAsia="Times New Roman" w:hAnsi="Times New Roman" w:cs="Times New Roman"/>
          <w:bCs/>
          <w:sz w:val="28"/>
          <w:szCs w:val="28"/>
          <w:lang w:val="uk-UA" w:eastAsia="ru-RU"/>
        </w:rPr>
        <w:t xml:space="preserve"> 2.2 - </w:t>
      </w:r>
      <w:r w:rsidRPr="00FD5B9B">
        <w:rPr>
          <w:rFonts w:ascii="Times New Roman" w:eastAsia="Times New Roman" w:hAnsi="Times New Roman" w:cs="Times New Roman"/>
          <w:bCs/>
          <w:sz w:val="28"/>
          <w:szCs w:val="28"/>
          <w:lang w:eastAsia="ru-RU"/>
        </w:rPr>
        <w:t>Витрати на інноваційну діяльність за видами економічної діяльності, 2022–2024 роки</w:t>
      </w:r>
    </w:p>
    <w:p w14:paraId="387111EB" w14:textId="77777777" w:rsidR="008B0776" w:rsidRDefault="008B0776" w:rsidP="008B0776">
      <w:pPr>
        <w:spacing w:after="0" w:line="360" w:lineRule="auto"/>
        <w:ind w:firstLine="709"/>
        <w:jc w:val="both"/>
        <w:rPr>
          <w:rFonts w:ascii="Times New Roman" w:eastAsia="Times New Roman" w:hAnsi="Times New Roman" w:cs="Times New Roman"/>
          <w:sz w:val="28"/>
          <w:szCs w:val="28"/>
          <w:lang w:val="uk-UA" w:eastAsia="ru-RU"/>
        </w:rPr>
      </w:pPr>
    </w:p>
    <w:p w14:paraId="64C9276E"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Аналіз </w:t>
      </w:r>
      <w:r>
        <w:rPr>
          <w:rFonts w:ascii="Times New Roman" w:eastAsia="Times New Roman" w:hAnsi="Times New Roman" w:cs="Times New Roman"/>
          <w:sz w:val="28"/>
          <w:szCs w:val="28"/>
          <w:lang w:val="uk-UA" w:eastAsia="ru-RU"/>
        </w:rPr>
        <w:t>Т</w:t>
      </w:r>
      <w:r w:rsidRPr="008B0776">
        <w:rPr>
          <w:rFonts w:ascii="Times New Roman" w:eastAsia="Times New Roman" w:hAnsi="Times New Roman" w:cs="Times New Roman"/>
          <w:sz w:val="28"/>
          <w:szCs w:val="28"/>
          <w:lang w:eastAsia="ru-RU"/>
        </w:rPr>
        <w:t>аблиці 2.3 показує, що промисловість є провідним сектором за обсягом витрат на інновації, хоча її частка скоротилася з 65,0% у 2022 році до 60,0% у 2024 році, а абсолютний обсяг зменшився з 9 246,6 млн грн до 5 470,5 млн грн. Це може бути пов’язано зі зниженням виробництва через воєнні дії та перебої в ланцюгах постачання [19, с. 64]. Інформаційні технології стабільно утримують частку 20–22%, що свідчить про стійкість ІТ-сектору навіть в умовах кризи. Обсяг витрат у цьому секторі скоротився з 2 844,2 млн грн у 2022 році до 2 003,7 млн грн у 2024 році, але частка залишилася стабільною завдяки високому попиту на цифрові рішення [13].</w:t>
      </w:r>
    </w:p>
    <w:p w14:paraId="13FA969B"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Сільське господарство має меншу частку (9–10%), а витрати скоротилися з 1 422,1 млн грн у 2022 році до 820,6 млн грн у 2024 році. Це може бути пов’язано з погодними умовами, зниженням урожайності та недостатньою підтримкою з боку держави [19, с. 64]. Інші сектори, такі як будівництво та енергетика, демонструють зростання частки з 5,0% до 9,0%, що пояснюється державними інвестиціями в інфраструктурні проєкти, зокрема відновлення після воєнних руйнувань [12, с. 1]. Ці секторальні відмінності підкреслюють нерівномірний розподіл інноваційних ресурсів, де промисловість та ІТ отримують основну частку фінансування, тоді як сільське господарство потребує додаткової уваги та підтримки.</w:t>
      </w:r>
    </w:p>
    <w:p w14:paraId="0F708484"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Розглянемо детальніше основні джерела фінансування. Власні кошти залишаються основним джерелом, складаючи 84,5–88,2% від загальних витрат у 2022–2024 роках (Таблиця 2.1). У 2022 році власні кошти становили 12 474,9 млн грн (87,7%), у 2023 році – 10 742,0 млн грн (88,2%), а у 2024 році – 7 704,1 млн грн (84,5%) [5, с. 104]. Така висока залежність від самофінансування створює нерівні умови для конкуренції, оскільки великі компанії з більшими фінансовими ресурсами мають перевагу над МСБ. Як зазначає Зянько В., МСБ часто не мають можливості інвестувати в інновації через брак прибутку, а доступ до зовнішнього фінансування для них ускладнений через високі вимоги банків [11, с. 57].</w:t>
      </w:r>
    </w:p>
    <w:p w14:paraId="6A986503"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Державне фінансування інноваційної діяльності є нестабільним і незначним за обсягом. У 2022 році кошти державного бюджету становили 556,5 млн грн (3,9%), у 2023 році зросли до 639,1 млн грн (5,2%), але у 2024 році різко скоротилися до 227,3 млн грн (2,5%) (Таблиця 2.1) [5, с. 106]. Ця динаміка, зображена на Рис. 2.1, показує пік у 2023 році та різкий спад у 2024 році, що може бути пов’язано з перерозподілом бюджетних витрат на оборону та безпеку, які у 2023 році склали значну частку ВВП (понад 40% [19]). Тітенко З. підкреслює, що низький рівень державного фінансування є ключовою проблемою, оскільки субсидії та гранти могли б стимулювати інноваційну активність, особливо в аграрному секторі [30, с. 17].</w:t>
      </w:r>
    </w:p>
    <w:p w14:paraId="7368129B"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Порівняно з країнами ЄС, де державне фінансування становить 30–50% витрат на інновації (наприклад, через програму Horizon Europe, яка у 2021–2027 роках передбачає бюджет у 95 млрд євро [1]), Україна значно відстає. У Німеччині, наприклад, державні програми забезпечують до 50% фінансування спільних проєктів між підприємствами та науковими установами, що сприяє швидкому впровадженню інновацій [1]. В Україні ж державна підтримка залишається недостатньою через бюрократичні бар’єри та відсутність прозорих механізмів розподілу коштів.</w:t>
      </w:r>
    </w:p>
    <w:p w14:paraId="7A9EC170"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Іноземні інвестиції в інноваційну діяльність залишаються мінімальними, хоча їх частка зросла з 0,3% (42,5 млн грн) у 2022 році до 1,2% (107,8 млн грн) у 2024 році (Таблиця 2.1) [5, с. 107]. Це зростання є позитивним, але обсяг іноземного фінансування все ще недостатній для суттєвого впливу на інноваційний розвиток. Основними причинами низького рівня іноземних інвестицій є високі економічні та політичні ризики, пов’язані з воєнним станом, а також недостатня розвиненість законодавчої бази для захисту прав інвесторів [26, с. 66]. Романюк І. зазначає, що для залучення іноземного капіталу необхідно спростити процедури інвестування та створити систему гарантій для інвесторів, подібну до тієї, що діє в Ізраїлі, де іноземні інвестиції складають до 40% фінансування інновацій [26, с. 66].</w:t>
      </w:r>
    </w:p>
    <w:p w14:paraId="376FCCB7"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Інші джерела, такі як гранти, кредити міжнародних організацій і краудфандинг, демонструють зростання частки з 8,1% (1 147,0 млн грн) у 2022 році до 11,8% (1 078,3 млн грн) у 2024 році (Таблиця 2.1) [5, с. 107]. Іванов С. відзначає потенціал краудфандингу, який може залучати до 1 млн грн на проєкт, але потребує законодавчої підтримки для легалізації та розвитку платформ, таких як Kickstarter, в Україні [12, с. 1]. Гранти від міжнародних програм, зокрема Horizon Europe, залишаються недооціненими через бюрократичні бар’єри та низький рівень обізнаності українських підприємств про можливості участі в таких програмах [1]. Наприклад, у 2023 році українські компанії отримали лише 10 млн євро через Horizon Europe, що становить лише 5% від доступного потенціалу [13].</w:t>
      </w:r>
    </w:p>
    <w:p w14:paraId="570D5907" w14:textId="77777777" w:rsidR="008B0776" w:rsidRPr="008B0776" w:rsidRDefault="008B0776" w:rsidP="008B0776">
      <w:pPr>
        <w:spacing w:after="0" w:line="360" w:lineRule="auto"/>
        <w:ind w:firstLine="709"/>
        <w:jc w:val="both"/>
        <w:rPr>
          <w:rFonts w:ascii="Times New Roman" w:eastAsia="Times New Roman" w:hAnsi="Times New Roman" w:cs="Times New Roman"/>
          <w:sz w:val="28"/>
          <w:szCs w:val="28"/>
          <w:lang w:eastAsia="ru-RU"/>
        </w:rPr>
      </w:pPr>
      <w:r w:rsidRPr="008B0776">
        <w:rPr>
          <w:rFonts w:ascii="Times New Roman" w:eastAsia="Times New Roman" w:hAnsi="Times New Roman" w:cs="Times New Roman"/>
          <w:sz w:val="28"/>
          <w:szCs w:val="28"/>
          <w:lang w:eastAsia="ru-RU"/>
        </w:rPr>
        <w:t>Для оцінки глобального контексту розглянемо позицію України за Глобальним індексом інновацій (GII) за 2020–2024 роки (Рис. 2.3).</w:t>
      </w:r>
    </w:p>
    <w:p w14:paraId="361D4580" w14:textId="77777777" w:rsidR="00FD5B9B" w:rsidRPr="00FD5B9B" w:rsidRDefault="00FD5B9B" w:rsidP="007853DE">
      <w:pPr>
        <w:spacing w:after="0" w:line="360" w:lineRule="auto"/>
        <w:ind w:firstLine="709"/>
        <w:jc w:val="both"/>
        <w:rPr>
          <w:rFonts w:ascii="Times New Roman" w:eastAsia="Times New Roman" w:hAnsi="Times New Roman" w:cs="Times New Roman"/>
          <w:sz w:val="28"/>
          <w:szCs w:val="28"/>
          <w:lang w:eastAsia="ru-RU"/>
        </w:rPr>
      </w:pPr>
    </w:p>
    <w:p w14:paraId="1BFFFED1" w14:textId="77777777" w:rsidR="008B0776" w:rsidRDefault="008B0776" w:rsidP="00FD5B9B">
      <w:pPr>
        <w:spacing w:after="0" w:line="360" w:lineRule="auto"/>
        <w:ind w:firstLine="709"/>
        <w:jc w:val="both"/>
        <w:rPr>
          <w:rFonts w:ascii="Times New Roman" w:eastAsia="Times New Roman" w:hAnsi="Times New Roman" w:cs="Times New Roman"/>
          <w:sz w:val="28"/>
          <w:szCs w:val="28"/>
          <w:lang w:val="uk-UA" w:eastAsia="ru-RU"/>
        </w:rPr>
      </w:pPr>
    </w:p>
    <w:p w14:paraId="46DF5E0F" w14:textId="77777777" w:rsidR="00BA533B" w:rsidRPr="00BA533B" w:rsidRDefault="00BA533B" w:rsidP="00FD5B9B">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14:anchorId="006120D3" wp14:editId="2934E52B">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283FE4" w14:textId="527D306B" w:rsidR="00BA533B" w:rsidRDefault="000B236B" w:rsidP="00FD5B9B">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Рисунок </w:t>
      </w:r>
      <w:r w:rsidR="00BA533B">
        <w:rPr>
          <w:rFonts w:ascii="Times New Roman" w:eastAsia="Times New Roman" w:hAnsi="Times New Roman" w:cs="Times New Roman"/>
          <w:bCs/>
          <w:sz w:val="28"/>
          <w:szCs w:val="28"/>
          <w:lang w:val="uk-UA" w:eastAsia="ru-RU"/>
        </w:rPr>
        <w:t>2.3 – Глобальний інноваційний індекс України за 2020-2024 роки</w:t>
      </w:r>
    </w:p>
    <w:p w14:paraId="5D27CA85" w14:textId="77777777" w:rsidR="008B0776" w:rsidRDefault="008B0776" w:rsidP="008B0776">
      <w:pPr>
        <w:spacing w:after="0" w:line="360" w:lineRule="auto"/>
        <w:ind w:firstLine="709"/>
        <w:jc w:val="both"/>
        <w:rPr>
          <w:rFonts w:ascii="Times New Roman" w:eastAsia="Times New Roman" w:hAnsi="Times New Roman" w:cs="Times New Roman"/>
          <w:bCs/>
          <w:sz w:val="28"/>
          <w:szCs w:val="28"/>
          <w:lang w:val="uk-UA" w:eastAsia="ru-RU"/>
        </w:rPr>
      </w:pPr>
    </w:p>
    <w:p w14:paraId="5A912F1A"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За даними Глобального індексу інновацій (GII), позиція України у рейтингу демонструє стабільний ріст: з 45-го місця у 2020 році до 54-го у 2024 році. Інноваційні внески (Innovation Inputs) зросли з 57% у 2020 році до 78% у 2024 році, що свідчить про покращення умов для інноваційної діяльності, таких як доступ до фінансування, інфраструктури та освіти. Водночас інноваційні результати (Innovation Outputs) зросли з 37% до 54%, відображаючи підвищення ефективності впровадження інновацій, але залишаються нижчими за внески, що вказує на недостатню результативність використання ресурсів [1].</w:t>
      </w:r>
    </w:p>
    <w:p w14:paraId="0EC8E0AD"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У 2021–2023 роках спостерігалося зростання витрат на інновації до 8,52% від загальної суми витрат на інноваційну діяльність у 2023 році, що свідчить про поступове збільшення інвестицій [5, с. 108]. У 2022 році частка інноваційних продуктів у загальному обсязі виробництва досягла 81,7%, що є позитивним показником, але у 2023 році зростання витрат на інновації склало лише 8,52% порівняно з попереднім роком, що є недостатнім для забезпечення сталого розвитку [5, с. 108]. Ці показники підкреслюють поступове зростання інноваційного потенціалу, зокрема через вдосконалення інфраструктури та підвищення доступу до венчурного капіталу, але також вказують на необхідність посилення фінансової підтримки.</w:t>
      </w:r>
    </w:p>
    <w:p w14:paraId="4B5FF35C"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Для поглиблення аналізу розглянемо міжнародний досвід фінансування інноваційної діяльності. У країнах ЄС, таких як Фінляндія, диверсифікована модель фінансування забезпечує 40% державних і 30% приватних інвестицій у інновації, що дозволяє підтримувати високий рівень інноваційної активності [1]. У США венчурний капітал відіграє ключову роль, фінансуючи до 60% стартапів у технологічному секторі, а програми на кшталт SBIR (Small Business Innovation Research) надають гранти на суму до 1 млн доларів на проєкт [26, с. 66]. В Україні ж венчурний капітал становить менше 1% від загального обсягу фінансування, що є наслідком відсутності законодавчої бази та низької довіри інвесторів [12, с. 1].</w:t>
      </w:r>
    </w:p>
    <w:p w14:paraId="3B07F833"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Для оцінки впливу джерел фінансування на інноваційну активність розглянемо приклад конкретного підприємства. Українська ІТ-компанія, яка у 2023 році отримала грант у розмірі 200 тис. євро через Horizon Europe, змогла розробити новий продукт (програмне забезпечення для автоматизації бізнес-процесів), що принесло дохід у 1,5 млн грн за рік [13]. Цей приклад показує, що доступ до зовнішнього фінансування може значно прискорити інноваційний розвиток, але таких випадків в Україні поки що небагато через обмежену участь у міжнародних програмах.</w:t>
      </w:r>
    </w:p>
    <w:p w14:paraId="3BC985F5"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Аналіз даних із Таблиць 2.1–2.3 дозволяє виділити ключові тенденції. Загальний обсяг витрат на інновації скоротився на 35,9% (з 14 220,9 млн грн у 2022 році до 9 117,5 млн грн у 2024 році), що відображає економічні виклики, зокрема воєнний стан і скорочення доходів підприємств [5, с. 108]. Частка власних коштів залишається стабільно високою (84,5–88,2%), що обмежує інноваційний потенціал МСБ, як зазначає Єрмак С. [14, с. 310]. Різке скорочення частки держбюджету до 2,5% у 2024 році (Таблиця 2.1) вказує на пріоритизацію оборонних витрат [19, с. 64]. Промисловість і ІТ домінують у витратах на інновації (Таблиця 2.3), тоді як сільське господарство та інші сектори отримують менше ресурсів, що знижує їх інноваційний потенціал [13]. Частка інших джерел зросла до 11,8% у 2024 році (Таблиця 2.1), але їхній обсяг залишається недостатнім.</w:t>
      </w:r>
    </w:p>
    <w:p w14:paraId="3D24E225" w14:textId="77777777" w:rsidR="008B0776" w:rsidRPr="008B0776" w:rsidRDefault="008B0776" w:rsidP="008B0776">
      <w:pPr>
        <w:spacing w:after="0" w:line="360" w:lineRule="auto"/>
        <w:ind w:firstLine="709"/>
        <w:jc w:val="both"/>
        <w:rPr>
          <w:rFonts w:ascii="Times New Roman" w:eastAsia="Times New Roman" w:hAnsi="Times New Roman" w:cs="Times New Roman"/>
          <w:bCs/>
          <w:sz w:val="28"/>
          <w:szCs w:val="28"/>
          <w:lang w:eastAsia="ru-RU"/>
        </w:rPr>
      </w:pPr>
      <w:r w:rsidRPr="008B0776">
        <w:rPr>
          <w:rFonts w:ascii="Times New Roman" w:eastAsia="Times New Roman" w:hAnsi="Times New Roman" w:cs="Times New Roman"/>
          <w:bCs/>
          <w:sz w:val="28"/>
          <w:szCs w:val="28"/>
          <w:lang w:eastAsia="ru-RU"/>
        </w:rPr>
        <w:t>Отже, оцінка джерел фінансування за 2022–2024 роки показала домінування власних коштів (84,5–88,2%), незначну роль державного (2,5–5,2%) та іноземного фінансування (0,3–1,2%), а також зростання частки інших джерел (до 11,8%). Загальні витрати скоротилися на 35,9%, з промисловістю та ІТ як провідними секторами, тоді як сільське господарство потребує додаткової підтримки. Для підвищення ефективності необхідно диверсифікувати джерела фінансування, посилити державну підтримку, розвинути венчурний капітал і краудфандинг, а також активізувати участь у міжнародних програмах, таких як Horizon Europe. Ці заходи сприятимуть виправленню секторальної нерівності та підвищенню інноваційного потенціалу України.</w:t>
      </w:r>
    </w:p>
    <w:p w14:paraId="4B046C9F" w14:textId="77777777" w:rsidR="00BA533B" w:rsidRPr="008B0776" w:rsidRDefault="00BA533B" w:rsidP="00FD5B9B">
      <w:pPr>
        <w:spacing w:after="0" w:line="360" w:lineRule="auto"/>
        <w:ind w:firstLine="709"/>
        <w:jc w:val="both"/>
        <w:rPr>
          <w:rFonts w:ascii="Times New Roman" w:eastAsia="Times New Roman" w:hAnsi="Times New Roman" w:cs="Times New Roman"/>
          <w:bCs/>
          <w:sz w:val="28"/>
          <w:szCs w:val="28"/>
          <w:lang w:eastAsia="ru-RU"/>
        </w:rPr>
      </w:pPr>
    </w:p>
    <w:p w14:paraId="03C7FF09" w14:textId="77777777" w:rsidR="00273A34" w:rsidRDefault="00273A34" w:rsidP="00C02D23">
      <w:pPr>
        <w:tabs>
          <w:tab w:val="left" w:pos="4044"/>
        </w:tabs>
        <w:jc w:val="center"/>
        <w:rPr>
          <w:rFonts w:ascii="Times New Roman" w:hAnsi="Times New Roman" w:cs="Times New Roman"/>
          <w:b/>
          <w:sz w:val="28"/>
          <w:szCs w:val="28"/>
          <w:lang w:val="uk-UA"/>
        </w:rPr>
      </w:pPr>
    </w:p>
    <w:p w14:paraId="40627177" w14:textId="77777777" w:rsidR="00E242F7" w:rsidRDefault="00E242F7" w:rsidP="00273A34">
      <w:pPr>
        <w:tabs>
          <w:tab w:val="left" w:pos="4044"/>
        </w:tabs>
        <w:spacing w:line="360" w:lineRule="auto"/>
        <w:jc w:val="center"/>
        <w:rPr>
          <w:rFonts w:ascii="Times New Roman" w:hAnsi="Times New Roman" w:cs="Times New Roman"/>
          <w:b/>
          <w:sz w:val="28"/>
          <w:szCs w:val="28"/>
          <w:lang w:val="uk-UA"/>
        </w:rPr>
      </w:pPr>
    </w:p>
    <w:p w14:paraId="0E42A091" w14:textId="77777777" w:rsidR="00E242F7" w:rsidRDefault="00E242F7" w:rsidP="00273A34">
      <w:pPr>
        <w:tabs>
          <w:tab w:val="left" w:pos="4044"/>
        </w:tabs>
        <w:spacing w:line="360" w:lineRule="auto"/>
        <w:jc w:val="center"/>
        <w:rPr>
          <w:rFonts w:ascii="Times New Roman" w:hAnsi="Times New Roman" w:cs="Times New Roman"/>
          <w:b/>
          <w:sz w:val="28"/>
          <w:szCs w:val="28"/>
          <w:lang w:val="uk-UA"/>
        </w:rPr>
      </w:pPr>
    </w:p>
    <w:p w14:paraId="5549E07C" w14:textId="77777777" w:rsidR="00E242F7" w:rsidRDefault="00E242F7" w:rsidP="00273A34">
      <w:pPr>
        <w:tabs>
          <w:tab w:val="left" w:pos="4044"/>
        </w:tabs>
        <w:spacing w:line="360" w:lineRule="auto"/>
        <w:jc w:val="center"/>
        <w:rPr>
          <w:rFonts w:ascii="Times New Roman" w:hAnsi="Times New Roman" w:cs="Times New Roman"/>
          <w:b/>
          <w:sz w:val="28"/>
          <w:szCs w:val="28"/>
          <w:lang w:val="uk-UA"/>
        </w:rPr>
      </w:pPr>
    </w:p>
    <w:p w14:paraId="4453E959" w14:textId="77777777" w:rsidR="00E242F7" w:rsidRDefault="00E242F7" w:rsidP="00273A34">
      <w:pPr>
        <w:tabs>
          <w:tab w:val="left" w:pos="4044"/>
        </w:tabs>
        <w:spacing w:line="360" w:lineRule="auto"/>
        <w:jc w:val="center"/>
        <w:rPr>
          <w:rFonts w:ascii="Times New Roman" w:hAnsi="Times New Roman" w:cs="Times New Roman"/>
          <w:b/>
          <w:sz w:val="28"/>
          <w:szCs w:val="28"/>
          <w:lang w:val="uk-UA"/>
        </w:rPr>
      </w:pPr>
    </w:p>
    <w:p w14:paraId="4724E494" w14:textId="77777777" w:rsidR="00E242F7" w:rsidRDefault="00E242F7" w:rsidP="00273A34">
      <w:pPr>
        <w:tabs>
          <w:tab w:val="left" w:pos="4044"/>
        </w:tabs>
        <w:spacing w:line="360" w:lineRule="auto"/>
        <w:jc w:val="center"/>
        <w:rPr>
          <w:rFonts w:ascii="Times New Roman" w:hAnsi="Times New Roman" w:cs="Times New Roman"/>
          <w:b/>
          <w:sz w:val="28"/>
          <w:szCs w:val="28"/>
          <w:lang w:val="uk-UA"/>
        </w:rPr>
      </w:pPr>
    </w:p>
    <w:p w14:paraId="2A8FA5A2" w14:textId="622BD8B1" w:rsidR="00273A34" w:rsidRDefault="00B14A41" w:rsidP="00273A34">
      <w:pPr>
        <w:tabs>
          <w:tab w:val="left" w:pos="4044"/>
        </w:tabs>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r w:rsidR="00273A34" w:rsidRPr="001A528C">
        <w:rPr>
          <w:rFonts w:ascii="Times New Roman" w:hAnsi="Times New Roman" w:cs="Times New Roman"/>
          <w:b/>
          <w:sz w:val="28"/>
          <w:szCs w:val="28"/>
          <w:lang w:val="uk-UA"/>
        </w:rPr>
        <w:t xml:space="preserve"> </w:t>
      </w:r>
    </w:p>
    <w:p w14:paraId="63D1F584" w14:textId="77777777" w:rsidR="001A528C" w:rsidRPr="001A528C" w:rsidRDefault="00273A34" w:rsidP="00273A34">
      <w:pPr>
        <w:tabs>
          <w:tab w:val="left" w:pos="4044"/>
        </w:tabs>
        <w:spacing w:line="360" w:lineRule="auto"/>
        <w:jc w:val="center"/>
        <w:rPr>
          <w:rFonts w:ascii="Times New Roman" w:hAnsi="Times New Roman" w:cs="Times New Roman"/>
          <w:b/>
          <w:sz w:val="28"/>
          <w:szCs w:val="28"/>
          <w:lang w:val="uk-UA"/>
        </w:rPr>
      </w:pPr>
      <w:r w:rsidRPr="001A528C">
        <w:rPr>
          <w:rFonts w:ascii="Times New Roman" w:hAnsi="Times New Roman" w:cs="Times New Roman"/>
          <w:b/>
          <w:sz w:val="28"/>
          <w:szCs w:val="28"/>
          <w:lang w:val="uk-UA"/>
        </w:rPr>
        <w:t>КОНЦЕПЦІЯ УДОСКОНАЛЕННЯ МЕХАНІЗМУ ФІНАНСУВАННЯ ІННОВАЦІЙНОЇ ДІЯЛЬНОСТІ ПІДПРИЄМСТВА</w:t>
      </w:r>
    </w:p>
    <w:p w14:paraId="08C4B59A" w14:textId="77777777" w:rsidR="00273A34" w:rsidRPr="00273A34"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lang w:val="uk-UA"/>
        </w:rPr>
        <w:t>Удосконалення механізму фінансування інноваційної діяльності є критично важливим для забезпечення конкурентоспроможності українських підприємств у глобальному економічному середовищі. Як зазначено в Розділі 1, механізм фінансування охоплює джерела, інструменти, організаційні структури та нормативно-правову базу, спрямовані на підтримку інноваційних процесів [2, с. 19; 12, с. 1]. Проте, як показав аналіз у Розділі 2, висока залежність від власних коштів (84,5–88,2% у 2022–2024 роках), низький рівень державного (2,5–5,2%) та іноземного фінансування (0,3–1,2%), а також скорочення загальних витрат на інновації (з 14 220,9 млн грн у 2022 році до 9 117,5 млн грн у 2024 році) свідчать про необхідність системних змін [5, с. 104–108].</w:t>
      </w:r>
    </w:p>
    <w:p w14:paraId="7D7796F4" w14:textId="77777777" w:rsidR="00BA533B"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Теоретична база концепції ґрунтується на принципах економічної ефективності, сталого розвитку та інтеграції з міжнародними фінансовими системами. Дем’яненко Т. підкреслює, що інновації є рушійною силою економічного зростання, але їх реалізація залежить від стабільних і диверсифікованих фінансових ресурсів [7, с. 2]. Толстова А. додає, що фінансування інновацій є стратегічним завданням, яке сприяє модернізації виробництва та підвищенню конку</w:t>
      </w:r>
      <w:r w:rsidR="00BA533B">
        <w:rPr>
          <w:rFonts w:ascii="Times New Roman" w:hAnsi="Times New Roman" w:cs="Times New Roman"/>
          <w:sz w:val="28"/>
          <w:szCs w:val="28"/>
        </w:rPr>
        <w:t>рентоспроможності [31, с. 106].</w:t>
      </w:r>
    </w:p>
    <w:p w14:paraId="6FE70FD0" w14:textId="77777777" w:rsidR="00273A34" w:rsidRPr="00BA533B"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BA533B">
        <w:rPr>
          <w:rFonts w:ascii="Times New Roman" w:hAnsi="Times New Roman" w:cs="Times New Roman"/>
          <w:sz w:val="28"/>
          <w:szCs w:val="28"/>
          <w:lang w:val="uk-UA"/>
        </w:rPr>
        <w:t xml:space="preserve">Міжнародний досвід, зокрема програми </w:t>
      </w:r>
      <w:r w:rsidRPr="00273A34">
        <w:rPr>
          <w:rFonts w:ascii="Times New Roman" w:hAnsi="Times New Roman" w:cs="Times New Roman"/>
          <w:sz w:val="28"/>
          <w:szCs w:val="28"/>
        </w:rPr>
        <w:t>Horizon</w:t>
      </w:r>
      <w:r w:rsidRPr="00BA533B">
        <w:rPr>
          <w:rFonts w:ascii="Times New Roman" w:hAnsi="Times New Roman" w:cs="Times New Roman"/>
          <w:sz w:val="28"/>
          <w:szCs w:val="28"/>
          <w:lang w:val="uk-UA"/>
        </w:rPr>
        <w:t xml:space="preserve"> </w:t>
      </w:r>
      <w:r w:rsidRPr="00273A34">
        <w:rPr>
          <w:rFonts w:ascii="Times New Roman" w:hAnsi="Times New Roman" w:cs="Times New Roman"/>
          <w:sz w:val="28"/>
          <w:szCs w:val="28"/>
        </w:rPr>
        <w:t>Europe</w:t>
      </w:r>
      <w:r w:rsidRPr="00BA533B">
        <w:rPr>
          <w:rFonts w:ascii="Times New Roman" w:hAnsi="Times New Roman" w:cs="Times New Roman"/>
          <w:sz w:val="28"/>
          <w:szCs w:val="28"/>
          <w:lang w:val="uk-UA"/>
        </w:rPr>
        <w:t xml:space="preserve"> в ЄС (95 млрд євро на 2021–2027 роки) та ізраїльська модель венчурного капіталу (60% інноваційного фінансування), демонструє успішність комбінованих моделей фінансування, що включають державні, приватні та міжнародні джерела [1; 26, с. 66].</w:t>
      </w:r>
    </w:p>
    <w:p w14:paraId="0E56A476"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sidRPr="00BA533B">
        <w:rPr>
          <w:rFonts w:ascii="Times New Roman" w:hAnsi="Times New Roman" w:cs="Times New Roman"/>
          <w:sz w:val="28"/>
          <w:szCs w:val="28"/>
          <w:lang w:val="uk-UA"/>
        </w:rPr>
        <w:t>Основними бар’єрами</w:t>
      </w:r>
      <w:r>
        <w:rPr>
          <w:rFonts w:ascii="Times New Roman" w:hAnsi="Times New Roman" w:cs="Times New Roman"/>
          <w:sz w:val="28"/>
          <w:szCs w:val="28"/>
          <w:lang w:val="uk-UA"/>
        </w:rPr>
        <w:t xml:space="preserve"> </w:t>
      </w:r>
      <w:r w:rsidR="00273A34" w:rsidRPr="00BA533B">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BA533B">
        <w:rPr>
          <w:rFonts w:ascii="Times New Roman" w:hAnsi="Times New Roman" w:cs="Times New Roman"/>
          <w:sz w:val="28"/>
          <w:szCs w:val="28"/>
          <w:lang w:val="uk-UA"/>
        </w:rPr>
        <w:t>[11, с. 57]</w:t>
      </w:r>
      <w:r w:rsidR="00273A34" w:rsidRPr="00BA533B">
        <w:rPr>
          <w:rFonts w:ascii="Times New Roman" w:hAnsi="Times New Roman" w:cs="Times New Roman"/>
          <w:sz w:val="28"/>
          <w:szCs w:val="28"/>
          <w:lang w:val="uk-UA"/>
        </w:rPr>
        <w:t>:</w:t>
      </w:r>
    </w:p>
    <w:p w14:paraId="2CF00D1F"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BA533B">
        <w:rPr>
          <w:rFonts w:ascii="Times New Roman" w:hAnsi="Times New Roman" w:cs="Times New Roman"/>
          <w:bCs/>
          <w:sz w:val="28"/>
          <w:szCs w:val="28"/>
          <w:lang w:val="uk-UA"/>
        </w:rPr>
        <w:t>Висока залежність від власних коштів</w:t>
      </w:r>
      <w:r w:rsidR="00273A34" w:rsidRPr="00BA533B">
        <w:rPr>
          <w:rFonts w:ascii="Times New Roman" w:hAnsi="Times New Roman" w:cs="Times New Roman"/>
          <w:sz w:val="28"/>
          <w:szCs w:val="28"/>
          <w:lang w:val="uk-UA"/>
        </w:rPr>
        <w:t>, що обмежує інноваційний потенціал малих і середніх підприємств.</w:t>
      </w:r>
    </w:p>
    <w:p w14:paraId="10343854"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bCs/>
          <w:sz w:val="28"/>
          <w:szCs w:val="28"/>
        </w:rPr>
        <w:t>Недостатнє державне фінансування</w:t>
      </w:r>
      <w:r w:rsidR="00273A34" w:rsidRPr="00273A34">
        <w:rPr>
          <w:rFonts w:ascii="Times New Roman" w:hAnsi="Times New Roman" w:cs="Times New Roman"/>
          <w:sz w:val="28"/>
          <w:szCs w:val="28"/>
        </w:rPr>
        <w:t xml:space="preserve"> (менше 3 млн грн на рік у 2024 році), зумовлене бюджетними обмеженнями.</w:t>
      </w:r>
    </w:p>
    <w:p w14:paraId="3E61AEBB"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BA533B">
        <w:rPr>
          <w:rFonts w:ascii="Times New Roman" w:hAnsi="Times New Roman" w:cs="Times New Roman"/>
          <w:bCs/>
          <w:sz w:val="28"/>
          <w:szCs w:val="28"/>
          <w:lang w:val="uk-UA"/>
        </w:rPr>
        <w:t>Низький рівень іноземних інвестицій</w:t>
      </w:r>
      <w:r w:rsidR="00273A34" w:rsidRPr="00BA533B">
        <w:rPr>
          <w:rFonts w:ascii="Times New Roman" w:hAnsi="Times New Roman" w:cs="Times New Roman"/>
          <w:sz w:val="28"/>
          <w:szCs w:val="28"/>
          <w:lang w:val="uk-UA"/>
        </w:rPr>
        <w:t xml:space="preserve"> (менше 1 млн грн щорічно), спричинений економічними та політичними ризиками.</w:t>
      </w:r>
    </w:p>
    <w:p w14:paraId="447908F6" w14:textId="77777777" w:rsidR="00273A34" w:rsidRP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BA533B">
        <w:rPr>
          <w:rFonts w:ascii="Times New Roman" w:hAnsi="Times New Roman" w:cs="Times New Roman"/>
          <w:bCs/>
          <w:sz w:val="28"/>
          <w:szCs w:val="28"/>
          <w:lang w:val="uk-UA"/>
        </w:rPr>
        <w:t>Нерозвиненість альтернативних інструментів</w:t>
      </w:r>
      <w:r w:rsidR="00273A34" w:rsidRPr="00BA533B">
        <w:rPr>
          <w:rFonts w:ascii="Times New Roman" w:hAnsi="Times New Roman" w:cs="Times New Roman"/>
          <w:sz w:val="28"/>
          <w:szCs w:val="28"/>
          <w:lang w:val="uk-UA"/>
        </w:rPr>
        <w:t>, таких як венчурний капітал і краудфандинг, через від</w:t>
      </w:r>
      <w:r>
        <w:rPr>
          <w:rFonts w:ascii="Times New Roman" w:hAnsi="Times New Roman" w:cs="Times New Roman"/>
          <w:sz w:val="28"/>
          <w:szCs w:val="28"/>
          <w:lang w:val="uk-UA"/>
        </w:rPr>
        <w:t>сутність законодавчої підтримки.</w:t>
      </w:r>
    </w:p>
    <w:p w14:paraId="725994B7" w14:textId="77777777" w:rsidR="00273A34" w:rsidRPr="001A67D2"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BA533B">
        <w:rPr>
          <w:rFonts w:ascii="Times New Roman" w:hAnsi="Times New Roman" w:cs="Times New Roman"/>
          <w:sz w:val="28"/>
          <w:szCs w:val="28"/>
          <w:lang w:val="uk-UA"/>
        </w:rPr>
        <w:t xml:space="preserve">Ці проблеми уповільнюють інноваційні процеси, що підтверджується дослідженнями Гнатківського Б. [5, с. 104–108]. </w:t>
      </w:r>
      <w:r w:rsidRPr="001A67D2">
        <w:rPr>
          <w:rFonts w:ascii="Times New Roman" w:hAnsi="Times New Roman" w:cs="Times New Roman"/>
          <w:sz w:val="28"/>
          <w:szCs w:val="28"/>
          <w:lang w:val="uk-UA"/>
        </w:rPr>
        <w:t>Удосконалення механізму має вирішити ці виклики шляхом диверсифікації джерел, підвищення прозорості та створення стимулів для інвесторів.</w:t>
      </w:r>
    </w:p>
    <w:p w14:paraId="71AB1807" w14:textId="77777777" w:rsidR="00BA533B" w:rsidRDefault="00273A34" w:rsidP="00BA533B">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Запропонована концепція ґрунтується на чотирьох ключових принципах, які враховують поточні обмеження та міжнародний досвід:</w:t>
      </w:r>
    </w:p>
    <w:p w14:paraId="4BC5C5F2"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273A34" w:rsidRPr="00BA533B">
        <w:rPr>
          <w:rFonts w:ascii="Times New Roman" w:hAnsi="Times New Roman" w:cs="Times New Roman"/>
          <w:sz w:val="28"/>
          <w:szCs w:val="28"/>
          <w:lang w:val="uk-UA"/>
        </w:rPr>
        <w:t>Зменшення залежності від власних коштів (з 85% до 60% протягом 5 років) шляхом залучення державних субсидій, венчурного капіталу, грантів і іноземних інвестицій [5, с. 104; 26, с. 66]. Наприклад, у Фінляндії диверсифікована модель фінансування забезпечує 40% державних і 30% приватних інвестицій у інновації [1].</w:t>
      </w:r>
    </w:p>
    <w:p w14:paraId="7D47A310"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73A34" w:rsidRPr="00BA533B">
        <w:rPr>
          <w:rFonts w:ascii="Times New Roman" w:hAnsi="Times New Roman" w:cs="Times New Roman"/>
          <w:sz w:val="28"/>
          <w:szCs w:val="28"/>
          <w:lang w:val="uk-UA"/>
        </w:rPr>
        <w:t xml:space="preserve">Впровадження цифрових платформ для моніторингу витрат на інновації, що знижує корупційні ризики та підвищує довіру інвесторів. </w:t>
      </w:r>
      <w:r w:rsidR="00273A34" w:rsidRPr="00273A34">
        <w:rPr>
          <w:rFonts w:ascii="Times New Roman" w:hAnsi="Times New Roman" w:cs="Times New Roman"/>
          <w:sz w:val="28"/>
          <w:szCs w:val="28"/>
        </w:rPr>
        <w:t>Іванов С. зазначає, що цифровізація звітності може підвищити ефективність використання коштів на 10–15% [12, с. 1].</w:t>
      </w:r>
    </w:p>
    <w:p w14:paraId="404787F6"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273A34" w:rsidRPr="00273A34">
        <w:rPr>
          <w:rFonts w:ascii="Times New Roman" w:hAnsi="Times New Roman" w:cs="Times New Roman"/>
          <w:sz w:val="28"/>
          <w:szCs w:val="28"/>
        </w:rPr>
        <w:t>Надання податкових пільг (зниження ставки податку на прибуток на 10%) і субсидій для підприємств, які інвестують у дослідження та розробки. Тітенко З. пропонує подібні стимули для аграрного сектору, що може збільшити інноваційні витрати на 20% [30, с. 17].</w:t>
      </w:r>
    </w:p>
    <w:p w14:paraId="1337B89E" w14:textId="77777777" w:rsidR="00273A34" w:rsidRPr="00273A34" w:rsidRDefault="00BA533B" w:rsidP="00BA533B">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w:t>
      </w:r>
      <w:r w:rsidR="00273A34" w:rsidRPr="00273A34">
        <w:rPr>
          <w:rFonts w:ascii="Times New Roman" w:hAnsi="Times New Roman" w:cs="Times New Roman"/>
          <w:sz w:val="28"/>
          <w:szCs w:val="28"/>
        </w:rPr>
        <w:t>Активна участь у міжнародних програмах, таких як Horizon Europe (гранти до 500 тис. євро на проєкт) та співпраця з ЄБРР, для зростання частки іноземного фінансування до 10–12% [1].</w:t>
      </w:r>
    </w:p>
    <w:p w14:paraId="5BB24D7A" w14:textId="77777777" w:rsidR="00273A34" w:rsidRPr="00273A34" w:rsidRDefault="00273A34" w:rsidP="00273A34">
      <w:pPr>
        <w:tabs>
          <w:tab w:val="left" w:pos="4044"/>
        </w:tabs>
        <w:spacing w:after="0" w:line="360" w:lineRule="auto"/>
        <w:ind w:firstLine="709"/>
        <w:jc w:val="both"/>
        <w:rPr>
          <w:rFonts w:ascii="Times New Roman" w:hAnsi="Times New Roman" w:cs="Times New Roman"/>
          <w:sz w:val="28"/>
          <w:szCs w:val="28"/>
        </w:rPr>
      </w:pPr>
      <w:r w:rsidRPr="00273A34">
        <w:rPr>
          <w:rFonts w:ascii="Times New Roman" w:hAnsi="Times New Roman" w:cs="Times New Roman"/>
          <w:sz w:val="28"/>
          <w:szCs w:val="28"/>
        </w:rPr>
        <w:t>Ці принципи формують основу для створення гнучкої та ефективної системи фінансування, яка враховує специфіку української економіки.</w:t>
      </w:r>
    </w:p>
    <w:p w14:paraId="6253377B" w14:textId="77777777" w:rsidR="00273A34" w:rsidRPr="00BA533B"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Запропонована модель включає п’ять взаємопов’язаних компонентів, які забезпечують комплексний підхід до фінан</w:t>
      </w:r>
      <w:r w:rsidR="00BA533B">
        <w:rPr>
          <w:rFonts w:ascii="Times New Roman" w:hAnsi="Times New Roman" w:cs="Times New Roman"/>
          <w:sz w:val="28"/>
          <w:szCs w:val="28"/>
        </w:rPr>
        <w:t>сування інноваційної діяльності</w:t>
      </w:r>
      <w:r w:rsidR="00BA533B">
        <w:rPr>
          <w:rFonts w:ascii="Times New Roman" w:hAnsi="Times New Roman" w:cs="Times New Roman"/>
          <w:sz w:val="28"/>
          <w:szCs w:val="28"/>
          <w:lang w:val="uk-UA"/>
        </w:rPr>
        <w:t>.</w:t>
      </w:r>
    </w:p>
    <w:p w14:paraId="2D8454AF" w14:textId="77777777" w:rsidR="00273A34" w:rsidRPr="00273A34" w:rsidRDefault="00BA533B" w:rsidP="00273A34">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По-перше, п</w:t>
      </w:r>
      <w:r w:rsidR="00273A34" w:rsidRPr="00273A34">
        <w:rPr>
          <w:rFonts w:ascii="Times New Roman" w:hAnsi="Times New Roman" w:cs="Times New Roman"/>
          <w:sz w:val="28"/>
          <w:szCs w:val="28"/>
        </w:rPr>
        <w:t>ідприємства повинні спрямовувати 5–10% річного прибутку на створення внутрішнього інноваційного фонду. Наприклад, компанія з прибутком 50 млн грн може акумулювати 2,5–5 млн грн щорічно для фінансування власних розробок або підтримки стартапів [11, с. 57]. За даними Єрмак С., такі фонди в ІТ-секторі України вже дозволяють фінансувати до 15% інноваційних проєктів [14]. Цей компонент зменшує залежність від зовнішнього капіталу та стимулює внутрішню інноваційну активність.</w:t>
      </w:r>
    </w:p>
    <w:p w14:paraId="48B17FBC" w14:textId="77777777" w:rsidR="00273A34" w:rsidRPr="00273A34" w:rsidRDefault="00BA533B" w:rsidP="00273A34">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По-друге, </w:t>
      </w:r>
      <w:r>
        <w:rPr>
          <w:rFonts w:ascii="Times New Roman" w:hAnsi="Times New Roman" w:cs="Times New Roman"/>
          <w:sz w:val="28"/>
          <w:szCs w:val="28"/>
          <w:lang w:val="uk-UA"/>
        </w:rPr>
        <w:t>д</w:t>
      </w:r>
      <w:r w:rsidR="00273A34" w:rsidRPr="00273A34">
        <w:rPr>
          <w:rFonts w:ascii="Times New Roman" w:hAnsi="Times New Roman" w:cs="Times New Roman"/>
          <w:sz w:val="28"/>
          <w:szCs w:val="28"/>
        </w:rPr>
        <w:t>ержава може співфінансувати 30–50% вартості інноваційних проєктів із соціальним ефектом, таких як енергоефективні технології. Наприклад, проєкт із встановлення сонячних панелей на підприємстві вартістю 10 млн грн може фінансуватися так: 40% (4 млн грн) – держава, 30% (3 млн грн) – венчурний капітал, 30% (3 млн грн) – власні кошти [14, с. 310]. Ільчук В. зазначає, що ДПП в енергетичному секторі може скоротити витрати на енергію на 20% [14, с. 310].</w:t>
      </w:r>
    </w:p>
    <w:p w14:paraId="5C7E380C" w14:textId="77777777" w:rsidR="00273A34" w:rsidRPr="00273A34" w:rsidRDefault="00BA533B" w:rsidP="00273A34">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По-третє, </w:t>
      </w:r>
      <w:r>
        <w:rPr>
          <w:rFonts w:ascii="Times New Roman" w:hAnsi="Times New Roman" w:cs="Times New Roman"/>
          <w:sz w:val="28"/>
          <w:szCs w:val="28"/>
          <w:lang w:val="uk-UA"/>
        </w:rPr>
        <w:t>с</w:t>
      </w:r>
      <w:r w:rsidR="00273A34" w:rsidRPr="00273A34">
        <w:rPr>
          <w:rFonts w:ascii="Times New Roman" w:hAnsi="Times New Roman" w:cs="Times New Roman"/>
          <w:sz w:val="28"/>
          <w:szCs w:val="28"/>
        </w:rPr>
        <w:t>прощення процедур реєстрації венчурних фондів і надання податкових пільг інвесторам є ключовим для залучення капіталу. Успішним прикладом є ізраїльська модель, де венчурний капітал становить 60% інноваційного фінансування [26, с. 66]. В Україні венчурні фонди можуть залучити до 500 млн грн щорічно за умови законодавчих змін, як пропонує Іванов С. [12, с. 1].</w:t>
      </w:r>
    </w:p>
    <w:p w14:paraId="7138FBA6"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По-четверте, </w:t>
      </w:r>
      <w:r>
        <w:rPr>
          <w:rFonts w:ascii="Times New Roman" w:hAnsi="Times New Roman" w:cs="Times New Roman"/>
          <w:sz w:val="28"/>
          <w:szCs w:val="28"/>
          <w:lang w:val="uk-UA"/>
        </w:rPr>
        <w:t>к</w:t>
      </w:r>
      <w:r w:rsidR="00273A34" w:rsidRPr="00273A34">
        <w:rPr>
          <w:rFonts w:ascii="Times New Roman" w:hAnsi="Times New Roman" w:cs="Times New Roman"/>
          <w:sz w:val="28"/>
          <w:szCs w:val="28"/>
        </w:rPr>
        <w:t>раудфандингові платформи, такі як Kickstarter, можуть залучати до 1 млн грн на проєкт для малих підприємств. Адаптація законодавства для легалізації краудфандингу в Україні може збільшити обсяг такого фінансування до 100 млн грн щорічно [12, с. 1]. Наприклад, проєкт із розробки екологічної упаковки в Україні залучив 0,5 млн грн через краудфандинг у 2023 році [19].</w:t>
      </w:r>
    </w:p>
    <w:p w14:paraId="321B0099" w14:textId="77777777" w:rsidR="00273A34" w:rsidRPr="00273A34" w:rsidRDefault="00BA533B" w:rsidP="00BA533B">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По-п’яте, з</w:t>
      </w:r>
      <w:r w:rsidR="00273A34" w:rsidRPr="00BA533B">
        <w:rPr>
          <w:rFonts w:ascii="Times New Roman" w:hAnsi="Times New Roman" w:cs="Times New Roman"/>
          <w:sz w:val="28"/>
          <w:szCs w:val="28"/>
          <w:lang w:val="uk-UA"/>
        </w:rPr>
        <w:t xml:space="preserve">алучення грантів від ЄС (до 500 тис. євро на проєкт) і кредитів від ЄБРР компенсує низький рівень іноземного фінансування (1,2% у 2024 році) [1; 5, с. 107]. </w:t>
      </w:r>
      <w:r w:rsidR="00273A34" w:rsidRPr="00273A34">
        <w:rPr>
          <w:rFonts w:ascii="Times New Roman" w:hAnsi="Times New Roman" w:cs="Times New Roman"/>
          <w:sz w:val="28"/>
          <w:szCs w:val="28"/>
        </w:rPr>
        <w:t>Наприклад, українські ІТ-компанії отримали 10 млн євро через Horizon Europe у 2023 році, що становить лише 5% від доступного потенціалу [13]. Співпраця з міжнародними організаціями може збільшити іноземне фінансування до 10% протягом 3 років.</w:t>
      </w:r>
    </w:p>
    <w:p w14:paraId="50F2B9A2" w14:textId="77777777" w:rsidR="00BA533B" w:rsidRDefault="00273A34" w:rsidP="00BA533B">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Реалізація концепції передбачає п’ять етапів із чіткими термінами та відповідальними сторонами:</w:t>
      </w:r>
    </w:p>
    <w:p w14:paraId="0AC863B5"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273A34" w:rsidRPr="00273A34">
        <w:rPr>
          <w:rFonts w:ascii="Times New Roman" w:hAnsi="Times New Roman" w:cs="Times New Roman"/>
          <w:bCs/>
          <w:sz w:val="28"/>
          <w:szCs w:val="28"/>
        </w:rPr>
        <w:t>Аналітичний (1–3 місяці)</w:t>
      </w:r>
      <w:r w:rsidR="00273A34" w:rsidRPr="00273A34">
        <w:rPr>
          <w:rFonts w:ascii="Times New Roman" w:hAnsi="Times New Roman" w:cs="Times New Roman"/>
          <w:sz w:val="28"/>
          <w:szCs w:val="28"/>
        </w:rPr>
        <w:t>. Проведення аудиту поточного стану фінансування на підприємствах, оцінка обсягу та структури витрат. Відповідальність: Міністерство економіки, галузеві асоціації [5].</w:t>
      </w:r>
    </w:p>
    <w:p w14:paraId="44A5C0CA"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73A34" w:rsidRPr="00273A34">
        <w:rPr>
          <w:rFonts w:ascii="Times New Roman" w:hAnsi="Times New Roman" w:cs="Times New Roman"/>
          <w:bCs/>
          <w:sz w:val="28"/>
          <w:szCs w:val="28"/>
        </w:rPr>
        <w:t>Нормативно-правовий (3–6 місяців)</w:t>
      </w:r>
      <w:r w:rsidR="00273A34" w:rsidRPr="00273A34">
        <w:rPr>
          <w:rFonts w:ascii="Times New Roman" w:hAnsi="Times New Roman" w:cs="Times New Roman"/>
          <w:sz w:val="28"/>
          <w:szCs w:val="28"/>
        </w:rPr>
        <w:t>. Розробка законодавчих змін, включаючи податкові пільги (зниження податку на прибуток на 10%) і спрощення процедур для венчурних фондів. Відповідальність: Верховна Рада, Міністерство фінансів [24].</w:t>
      </w:r>
    </w:p>
    <w:p w14:paraId="25E1DB67"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273A34" w:rsidRPr="00273A34">
        <w:rPr>
          <w:rFonts w:ascii="Times New Roman" w:hAnsi="Times New Roman" w:cs="Times New Roman"/>
          <w:bCs/>
          <w:sz w:val="28"/>
          <w:szCs w:val="28"/>
        </w:rPr>
        <w:t>Організаційний (6–12 місяців)</w:t>
      </w:r>
      <w:r w:rsidR="00273A34" w:rsidRPr="00273A34">
        <w:rPr>
          <w:rFonts w:ascii="Times New Roman" w:hAnsi="Times New Roman" w:cs="Times New Roman"/>
          <w:sz w:val="28"/>
          <w:szCs w:val="28"/>
        </w:rPr>
        <w:t>. Створення інноваційних фондів на підприємствах і налагодження співпраці з венчурними інвесторами та краудфандинговими платформами. Відповідальність: підприємства, фінансові інституції [11; 12].</w:t>
      </w:r>
    </w:p>
    <w:p w14:paraId="64AAC5F9" w14:textId="77777777" w:rsidR="00BA533B"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73A34" w:rsidRPr="00745E7E">
        <w:rPr>
          <w:rFonts w:ascii="Times New Roman" w:hAnsi="Times New Roman" w:cs="Times New Roman"/>
          <w:bCs/>
          <w:sz w:val="28"/>
          <w:szCs w:val="28"/>
          <w:lang w:val="uk-UA"/>
        </w:rPr>
        <w:t>Практичний (12–24 місяці)</w:t>
      </w:r>
      <w:r w:rsidR="00273A34" w:rsidRPr="00745E7E">
        <w:rPr>
          <w:rFonts w:ascii="Times New Roman" w:hAnsi="Times New Roman" w:cs="Times New Roman"/>
          <w:sz w:val="28"/>
          <w:szCs w:val="28"/>
          <w:lang w:val="uk-UA"/>
        </w:rPr>
        <w:t xml:space="preserve">. Реалізація пілотних проєктів у рамках ДПП, наприклад, впровадження енергоефективного обладнання з бюджетом 10 млн грн (40% – держава, 30% – венчурний капітал, 30% – власні кошти). </w:t>
      </w:r>
      <w:r w:rsidR="00273A34" w:rsidRPr="001A67D2">
        <w:rPr>
          <w:rFonts w:ascii="Times New Roman" w:hAnsi="Times New Roman" w:cs="Times New Roman"/>
          <w:sz w:val="28"/>
          <w:szCs w:val="28"/>
          <w:lang w:val="uk-UA"/>
        </w:rPr>
        <w:t>Відповідальність: Міністерство енергетики, приватний сектор [14].</w:t>
      </w:r>
    </w:p>
    <w:p w14:paraId="0679CD35" w14:textId="77777777" w:rsidR="00273A34" w:rsidRDefault="00BA533B"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273A34" w:rsidRPr="001A67D2">
        <w:rPr>
          <w:rFonts w:ascii="Times New Roman" w:hAnsi="Times New Roman" w:cs="Times New Roman"/>
          <w:bCs/>
          <w:sz w:val="28"/>
          <w:szCs w:val="28"/>
          <w:lang w:val="uk-UA"/>
        </w:rPr>
        <w:t>Оціночний (постійно)</w:t>
      </w:r>
      <w:r w:rsidR="00273A34" w:rsidRPr="001A67D2">
        <w:rPr>
          <w:rFonts w:ascii="Times New Roman" w:hAnsi="Times New Roman" w:cs="Times New Roman"/>
          <w:sz w:val="28"/>
          <w:szCs w:val="28"/>
          <w:lang w:val="uk-UA"/>
        </w:rPr>
        <w:t xml:space="preserve">. Щорічний моніторинг ефективності через цифрові платформи, публікація звітів для забезпечення прозорості. </w:t>
      </w:r>
      <w:r w:rsidR="00273A34" w:rsidRPr="00273A34">
        <w:rPr>
          <w:rFonts w:ascii="Times New Roman" w:hAnsi="Times New Roman" w:cs="Times New Roman"/>
          <w:sz w:val="28"/>
          <w:szCs w:val="28"/>
        </w:rPr>
        <w:t>Відповідальність: Державна служба статистики, незалежні аудитори [12].</w:t>
      </w:r>
    </w:p>
    <w:p w14:paraId="0331C60D" w14:textId="72350F86" w:rsidR="0095746B" w:rsidRDefault="00524096" w:rsidP="00BA533B">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Представимо концепцію на рис.3.1.</w:t>
      </w:r>
    </w:p>
    <w:p w14:paraId="46638012" w14:textId="77777777" w:rsidR="00524096" w:rsidRPr="0095746B" w:rsidRDefault="00524096" w:rsidP="00BA533B">
      <w:pPr>
        <w:tabs>
          <w:tab w:val="left" w:pos="4044"/>
        </w:tabs>
        <w:spacing w:after="0" w:line="360" w:lineRule="auto"/>
        <w:ind w:firstLine="709"/>
        <w:jc w:val="both"/>
        <w:rPr>
          <w:rFonts w:ascii="Times New Roman" w:hAnsi="Times New Roman" w:cs="Times New Roman"/>
          <w:sz w:val="28"/>
          <w:szCs w:val="28"/>
          <w:lang w:val="uk-UA"/>
        </w:rPr>
      </w:pPr>
    </w:p>
    <w:p w14:paraId="3B503CBD" w14:textId="77777777" w:rsidR="0095746B" w:rsidRDefault="0095746B" w:rsidP="00273A34">
      <w:pPr>
        <w:tabs>
          <w:tab w:val="left" w:pos="4044"/>
        </w:tabs>
        <w:spacing w:after="0" w:line="360" w:lineRule="auto"/>
        <w:ind w:firstLine="709"/>
        <w:jc w:val="both"/>
        <w:rPr>
          <w:rFonts w:ascii="Times New Roman" w:hAnsi="Times New Roman" w:cs="Times New Roman"/>
          <w:bCs/>
          <w:sz w:val="28"/>
          <w:szCs w:val="28"/>
          <w:lang w:val="uk-UA"/>
        </w:rPr>
      </w:pPr>
    </w:p>
    <w:p w14:paraId="1036EA7E" w14:textId="77777777" w:rsidR="0095746B" w:rsidRDefault="0095746B" w:rsidP="00273A34">
      <w:pPr>
        <w:tabs>
          <w:tab w:val="left" w:pos="4044"/>
        </w:tabs>
        <w:spacing w:after="0" w:line="360" w:lineRule="auto"/>
        <w:ind w:firstLine="709"/>
        <w:jc w:val="both"/>
        <w:rPr>
          <w:rFonts w:ascii="Times New Roman" w:hAnsi="Times New Roman" w:cs="Times New Roman"/>
          <w:bCs/>
          <w:sz w:val="28"/>
          <w:szCs w:val="28"/>
          <w:lang w:val="uk-UA"/>
        </w:rPr>
      </w:pPr>
    </w:p>
    <w:p w14:paraId="389A6ADB" w14:textId="77777777" w:rsidR="00524096" w:rsidRDefault="00524096" w:rsidP="00273A34">
      <w:pPr>
        <w:tabs>
          <w:tab w:val="left" w:pos="4044"/>
        </w:tabs>
        <w:spacing w:after="0" w:line="360" w:lineRule="auto"/>
        <w:ind w:firstLine="709"/>
        <w:jc w:val="both"/>
        <w:rPr>
          <w:rFonts w:ascii="Times New Roman" w:hAnsi="Times New Roman" w:cs="Times New Roman"/>
          <w:bCs/>
          <w:sz w:val="28"/>
          <w:szCs w:val="28"/>
          <w:lang w:val="uk-UA"/>
        </w:rPr>
        <w:sectPr w:rsidR="00524096" w:rsidSect="008B0776">
          <w:headerReference w:type="default" r:id="rId15"/>
          <w:pgSz w:w="11906" w:h="16838"/>
          <w:pgMar w:top="1134" w:right="850" w:bottom="1134" w:left="1701" w:header="708" w:footer="708" w:gutter="0"/>
          <w:pgNumType w:start="1"/>
          <w:cols w:space="708"/>
          <w:titlePg/>
          <w:docGrid w:linePitch="360"/>
        </w:sectPr>
      </w:pPr>
    </w:p>
    <w:p w14:paraId="25CE905C" w14:textId="59582694" w:rsidR="0095746B" w:rsidRDefault="00F05235" w:rsidP="00273A34">
      <w:pPr>
        <w:tabs>
          <w:tab w:val="left" w:pos="404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mc:AlternateContent>
          <mc:Choice Requires="wps">
            <w:drawing>
              <wp:anchor distT="0" distB="0" distL="114300" distR="114300" simplePos="0" relativeHeight="251674624" behindDoc="0" locked="0" layoutInCell="1" allowOverlap="1" wp14:anchorId="25CCE664" wp14:editId="2CB0148C">
                <wp:simplePos x="0" y="0"/>
                <wp:positionH relativeFrom="column">
                  <wp:posOffset>6259830</wp:posOffset>
                </wp:positionH>
                <wp:positionV relativeFrom="paragraph">
                  <wp:posOffset>1426845</wp:posOffset>
                </wp:positionV>
                <wp:extent cx="106680" cy="243840"/>
                <wp:effectExtent l="38100" t="0" r="26670" b="6096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06680" cy="243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24EF63E" id="_x0000_t32" coordsize="21600,21600" o:spt="32" o:oned="t" path="m,l21600,21600e" filled="f">
                <v:path arrowok="t" fillok="f" o:connecttype="none"/>
                <o:lock v:ext="edit" shapetype="t"/>
              </v:shapetype>
              <v:shape id="Прямая со стрелкой 11" o:spid="_x0000_s1026" type="#_x0000_t32" style="position:absolute;margin-left:492.9pt;margin-top:112.35pt;width:8.4pt;height:19.2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" strokecolor="black [3040]">
                <v:stroke endarrow="open"/>
              </v:shape>
            </w:pict>
          </mc:Fallback>
        </mc:AlternateContent>
      </w:r>
      <w:r>
        <w:rPr>
          <w:rFonts w:ascii="Times New Roman" w:hAnsi="Times New Roman" w:cs="Times New Roman"/>
          <w:bCs/>
          <w:noProof/>
          <w:sz w:val="28"/>
          <w:szCs w:val="28"/>
          <w:lang w:eastAsia="ru-RU"/>
        </w:rPr>
        <mc:AlternateContent>
          <mc:Choice Requires="wps">
            <w:drawing>
              <wp:anchor distT="0" distB="0" distL="114300" distR="114300" simplePos="0" relativeHeight="251673600" behindDoc="0" locked="0" layoutInCell="1" allowOverlap="1" wp14:anchorId="057C80BA" wp14:editId="062C76AA">
                <wp:simplePos x="0" y="0"/>
                <wp:positionH relativeFrom="column">
                  <wp:posOffset>5193030</wp:posOffset>
                </wp:positionH>
                <wp:positionV relativeFrom="paragraph">
                  <wp:posOffset>1426845</wp:posOffset>
                </wp:positionV>
                <wp:extent cx="198120" cy="243840"/>
                <wp:effectExtent l="0" t="0" r="68580" b="60960"/>
                <wp:wrapNone/>
                <wp:docPr id="10" name="Прямая со стрелкой 10"/>
                <wp:cNvGraphicFramePr/>
                <a:graphic xmlns:a="http://schemas.openxmlformats.org/drawingml/2006/main">
                  <a:graphicData uri="http://schemas.microsoft.com/office/word/2010/wordprocessingShape">
                    <wps:wsp>
                      <wps:cNvCnPr/>
                      <wps:spPr>
                        <a:xfrm>
                          <a:off x="0" y="0"/>
                          <a:ext cx="198120" cy="243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9EC6C7" id="Прямая со стрелкой 10" o:spid="_x0000_s1026" type="#_x0000_t32" style="position:absolute;margin-left:408.9pt;margin-top:112.35pt;width:15.6pt;height:19.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" strokecolor="black [3040]">
                <v:stroke endarrow="open"/>
              </v:shape>
            </w:pict>
          </mc:Fallback>
        </mc:AlternateContent>
      </w:r>
      <w:r>
        <w:rPr>
          <w:rFonts w:ascii="Times New Roman" w:hAnsi="Times New Roman" w:cs="Times New Roman"/>
          <w:bCs/>
          <w:noProof/>
          <w:sz w:val="28"/>
          <w:szCs w:val="28"/>
          <w:lang w:eastAsia="ru-RU"/>
        </w:rPr>
        <mc:AlternateContent>
          <mc:Choice Requires="wps">
            <w:drawing>
              <wp:anchor distT="0" distB="0" distL="114300" distR="114300" simplePos="0" relativeHeight="251672576" behindDoc="0" locked="0" layoutInCell="1" allowOverlap="1" wp14:anchorId="435BD1A2" wp14:editId="657D88F3">
                <wp:simplePos x="0" y="0"/>
                <wp:positionH relativeFrom="column">
                  <wp:posOffset>5962650</wp:posOffset>
                </wp:positionH>
                <wp:positionV relativeFrom="paragraph">
                  <wp:posOffset>748665</wp:posOffset>
                </wp:positionV>
                <wp:extent cx="922020" cy="678180"/>
                <wp:effectExtent l="0" t="0" r="11430" b="26670"/>
                <wp:wrapNone/>
                <wp:docPr id="9" name="Прямоугольник 9"/>
                <wp:cNvGraphicFramePr/>
                <a:graphic xmlns:a="http://schemas.openxmlformats.org/drawingml/2006/main">
                  <a:graphicData uri="http://schemas.microsoft.com/office/word/2010/wordprocessingShape">
                    <wps:wsp>
                      <wps:cNvSpPr/>
                      <wps:spPr>
                        <a:xfrm>
                          <a:off x="0" y="0"/>
                          <a:ext cx="922020" cy="678180"/>
                        </a:xfrm>
                        <a:prstGeom prst="rect">
                          <a:avLst/>
                        </a:prstGeom>
                      </wps:spPr>
                      <wps:style>
                        <a:lnRef idx="2">
                          <a:schemeClr val="dk1"/>
                        </a:lnRef>
                        <a:fillRef idx="1">
                          <a:schemeClr val="lt1"/>
                        </a:fillRef>
                        <a:effectRef idx="0">
                          <a:schemeClr val="dk1"/>
                        </a:effectRef>
                        <a:fontRef idx="minor">
                          <a:schemeClr val="dk1"/>
                        </a:fontRef>
                      </wps:style>
                      <wps:txbx>
                        <w:txbxContent>
                          <w:p w14:paraId="576D57DE" w14:textId="16846666" w:rsidR="00F05235" w:rsidRPr="00F05235" w:rsidRDefault="00F05235" w:rsidP="00F05235">
                            <w:pPr>
                              <w:jc w:val="center"/>
                              <w:rPr>
                                <w:rFonts w:ascii="Times New Roman" w:hAnsi="Times New Roman" w:cs="Times New Roman"/>
                                <w:lang w:val="uk-UA"/>
                              </w:rPr>
                            </w:pPr>
                            <w:r w:rsidRPr="00F05235">
                              <w:rPr>
                                <w:rFonts w:ascii="Times New Roman" w:hAnsi="Times New Roman" w:cs="Times New Roman"/>
                                <w:lang w:val="uk-UA"/>
                              </w:rPr>
                              <w:t>Венчурний капітал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BD1A2" id="Прямоугольник 9" o:spid="_x0000_s1026" style="position:absolute;left:0;text-align:left;margin-left:469.5pt;margin-top:58.95pt;width:72.6pt;height:5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" fillcolor="white [3201]" strokecolor="black [3200]" strokeweight="2pt">
                <v:textbox>
                  <w:txbxContent>
                    <w:p w14:paraId="576D57DE" w14:textId="16846666" w:rsidR="00F05235" w:rsidRPr="00F05235" w:rsidRDefault="00F05235" w:rsidP="00F05235">
                      <w:pPr>
                        <w:jc w:val="center"/>
                        <w:rPr>
                          <w:rFonts w:ascii="Times New Roman" w:hAnsi="Times New Roman" w:cs="Times New Roman"/>
                          <w:lang w:val="uk-UA"/>
                        </w:rPr>
                      </w:pPr>
                      <w:r w:rsidRPr="00F05235">
                        <w:rPr>
                          <w:rFonts w:ascii="Times New Roman" w:hAnsi="Times New Roman" w:cs="Times New Roman"/>
                          <w:lang w:val="uk-UA"/>
                        </w:rPr>
                        <w:t>Венчурний капітал</w:t>
                      </w:r>
                    </w:p>
                  </w:txbxContent>
                </v:textbox>
              </v:rect>
            </w:pict>
          </mc:Fallback>
        </mc:AlternateContent>
      </w:r>
      <w:r>
        <w:rPr>
          <w:rFonts w:ascii="Times New Roman" w:hAnsi="Times New Roman" w:cs="Times New Roman"/>
          <w:bCs/>
          <w:noProof/>
          <w:sz w:val="28"/>
          <w:szCs w:val="28"/>
          <w:lang w:eastAsia="ru-RU"/>
        </w:rPr>
        <mc:AlternateContent>
          <mc:Choice Requires="wps">
            <w:drawing>
              <wp:anchor distT="0" distB="0" distL="114300" distR="114300" simplePos="0" relativeHeight="251671552" behindDoc="0" locked="0" layoutInCell="1" allowOverlap="1" wp14:anchorId="01664B19" wp14:editId="32F47BA4">
                <wp:simplePos x="0" y="0"/>
                <wp:positionH relativeFrom="column">
                  <wp:posOffset>1040130</wp:posOffset>
                </wp:positionH>
                <wp:positionV relativeFrom="paragraph">
                  <wp:posOffset>-988695</wp:posOffset>
                </wp:positionV>
                <wp:extent cx="1592580" cy="990600"/>
                <wp:effectExtent l="0" t="19050" r="45720" b="38100"/>
                <wp:wrapNone/>
                <wp:docPr id="8" name="Стрелка вправо 8"/>
                <wp:cNvGraphicFramePr/>
                <a:graphic xmlns:a="http://schemas.openxmlformats.org/drawingml/2006/main">
                  <a:graphicData uri="http://schemas.microsoft.com/office/word/2010/wordprocessingShape">
                    <wps:wsp>
                      <wps:cNvSpPr/>
                      <wps:spPr>
                        <a:xfrm>
                          <a:off x="0" y="0"/>
                          <a:ext cx="1592580" cy="990600"/>
                        </a:xfrm>
                        <a:prstGeom prst="rightArrow">
                          <a:avLst/>
                        </a:prstGeom>
                      </wps:spPr>
                      <wps:style>
                        <a:lnRef idx="2">
                          <a:schemeClr val="dk1"/>
                        </a:lnRef>
                        <a:fillRef idx="1">
                          <a:schemeClr val="lt1"/>
                        </a:fillRef>
                        <a:effectRef idx="0">
                          <a:schemeClr val="dk1"/>
                        </a:effectRef>
                        <a:fontRef idx="minor">
                          <a:schemeClr val="dk1"/>
                        </a:fontRef>
                      </wps:style>
                      <wps:txbx>
                        <w:txbxContent>
                          <w:p w14:paraId="49EA36B4" w14:textId="481E3E79" w:rsidR="00F05235" w:rsidRPr="00F05235" w:rsidRDefault="00F05235" w:rsidP="00F05235">
                            <w:pPr>
                              <w:jc w:val="center"/>
                              <w:rPr>
                                <w:rFonts w:ascii="Times New Roman" w:hAnsi="Times New Roman" w:cs="Times New Roman"/>
                                <w:lang w:val="uk-UA"/>
                              </w:rPr>
                            </w:pPr>
                            <w:r w:rsidRPr="00F05235">
                              <w:rPr>
                                <w:rFonts w:ascii="Times New Roman" w:hAnsi="Times New Roman" w:cs="Times New Roman"/>
                                <w:lang w:val="uk-UA"/>
                              </w:rPr>
                              <w:t>Державне співіснування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1664B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 o:spid="_x0000_s1027" type="#_x0000_t13" style="position:absolute;left:0;text-align:left;margin-left:81.9pt;margin-top:-77.85pt;width:125.4pt;height:7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" adj="14882" fillcolor="white [3201]" strokecolor="black [3200]" strokeweight="2pt">
                <v:textbox>
                  <w:txbxContent>
                    <w:p w14:paraId="49EA36B4" w14:textId="481E3E79" w:rsidR="00F05235" w:rsidRPr="00F05235" w:rsidRDefault="00F05235" w:rsidP="00F05235">
                      <w:pPr>
                        <w:jc w:val="center"/>
                        <w:rPr>
                          <w:rFonts w:ascii="Times New Roman" w:hAnsi="Times New Roman" w:cs="Times New Roman"/>
                          <w:lang w:val="uk-UA"/>
                        </w:rPr>
                      </w:pPr>
                      <w:r w:rsidRPr="00F05235">
                        <w:rPr>
                          <w:rFonts w:ascii="Times New Roman" w:hAnsi="Times New Roman" w:cs="Times New Roman"/>
                          <w:lang w:val="uk-UA"/>
                        </w:rPr>
                        <w:t>Державне співіснування</w:t>
                      </w:r>
                    </w:p>
                  </w:txbxContent>
                </v:textbox>
              </v:shape>
            </w:pict>
          </mc:Fallback>
        </mc:AlternateContent>
      </w:r>
      <w:r w:rsidR="00EB485A">
        <w:rPr>
          <w:rFonts w:ascii="Times New Roman" w:hAnsi="Times New Roman" w:cs="Times New Roman"/>
          <w:bCs/>
          <w:noProof/>
          <w:sz w:val="28"/>
          <w:szCs w:val="28"/>
          <w:lang w:eastAsia="ru-RU"/>
        </w:rPr>
        <mc:AlternateContent>
          <mc:Choice Requires="wps">
            <w:drawing>
              <wp:anchor distT="0" distB="0" distL="114300" distR="114300" simplePos="0" relativeHeight="251670528" behindDoc="0" locked="0" layoutInCell="1" allowOverlap="1" wp14:anchorId="56B9048C" wp14:editId="7FA76F8C">
                <wp:simplePos x="0" y="0"/>
                <wp:positionH relativeFrom="column">
                  <wp:posOffset>3059430</wp:posOffset>
                </wp:positionH>
                <wp:positionV relativeFrom="paragraph">
                  <wp:posOffset>-889635</wp:posOffset>
                </wp:positionV>
                <wp:extent cx="4099560" cy="670560"/>
                <wp:effectExtent l="0" t="0" r="15240" b="1524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4099560" cy="670560"/>
                        </a:xfrm>
                        <a:prstGeom prst="roundRect">
                          <a:avLst/>
                        </a:prstGeom>
                      </wps:spPr>
                      <wps:style>
                        <a:lnRef idx="2">
                          <a:schemeClr val="dk1"/>
                        </a:lnRef>
                        <a:fillRef idx="1">
                          <a:schemeClr val="lt1"/>
                        </a:fillRef>
                        <a:effectRef idx="0">
                          <a:schemeClr val="dk1"/>
                        </a:effectRef>
                        <a:fontRef idx="minor">
                          <a:schemeClr val="dk1"/>
                        </a:fontRef>
                      </wps:style>
                      <wps:txbx>
                        <w:txbxContent>
                          <w:p w14:paraId="1713CF4B" w14:textId="2F5CC792" w:rsidR="00F05235" w:rsidRPr="00F05235" w:rsidRDefault="00F05235" w:rsidP="00F05235">
                            <w:pPr>
                              <w:spacing w:line="240" w:lineRule="auto"/>
                              <w:jc w:val="both"/>
                              <w:rPr>
                                <w:rFonts w:ascii="Times New Roman" w:hAnsi="Times New Roman" w:cs="Times New Roman"/>
                              </w:rPr>
                            </w:pPr>
                            <w:r w:rsidRPr="00F05235">
                              <w:rPr>
                                <w:rFonts w:ascii="Times New Roman" w:hAnsi="Times New Roman" w:cs="Times New Roman"/>
                              </w:rPr>
                              <w:t>Держава фінансує 30–50% вартості проєктів із соціальним ефектом (наприклад, 40% вартості проєкту з енергоефективності вартістю 10 млн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B9048C" id="Скругленный прямоугольник 7" o:spid="_x0000_s1028" style="position:absolute;left:0;text-align:left;margin-left:240.9pt;margin-top:-70.05pt;width:322.8pt;height:52.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" fillcolor="white [3201]" strokecolor="black [3200]" strokeweight="2pt">
                <v:textbox>
                  <w:txbxContent>
                    <w:p w14:paraId="1713CF4B" w14:textId="2F5CC792" w:rsidR="00F05235" w:rsidRPr="00F05235" w:rsidRDefault="00F05235" w:rsidP="00F05235">
                      <w:pPr>
                        <w:spacing w:line="240" w:lineRule="auto"/>
                        <w:jc w:val="both"/>
                        <w:rPr>
                          <w:rFonts w:ascii="Times New Roman" w:hAnsi="Times New Roman" w:cs="Times New Roman"/>
                        </w:rPr>
                      </w:pPr>
                      <w:r w:rsidRPr="00F05235">
                        <w:rPr>
                          <w:rFonts w:ascii="Times New Roman" w:hAnsi="Times New Roman" w:cs="Times New Roman"/>
                        </w:rPr>
                        <w:t>Держава фінансує 30–50% вартості проєктів із соціальним ефектом (наприклад, 40% вартості проєкту з енергоефективності вартістю 10 млн грн).</w:t>
                      </w:r>
                    </w:p>
                  </w:txbxContent>
                </v:textbox>
              </v:roundrect>
            </w:pict>
          </mc:Fallback>
        </mc:AlternateContent>
      </w:r>
      <w:r w:rsidR="00EB485A">
        <w:rPr>
          <w:rFonts w:ascii="Times New Roman" w:hAnsi="Times New Roman" w:cs="Times New Roman"/>
          <w:bCs/>
          <w:noProof/>
          <w:sz w:val="28"/>
          <w:szCs w:val="28"/>
          <w:lang w:eastAsia="ru-RU"/>
        </w:rPr>
        <mc:AlternateContent>
          <mc:Choice Requires="wps">
            <w:drawing>
              <wp:anchor distT="0" distB="0" distL="114300" distR="114300" simplePos="0" relativeHeight="251669504" behindDoc="0" locked="0" layoutInCell="1" allowOverlap="1" wp14:anchorId="7BE1751B" wp14:editId="6B1998E8">
                <wp:simplePos x="0" y="0"/>
                <wp:positionH relativeFrom="column">
                  <wp:posOffset>4812030</wp:posOffset>
                </wp:positionH>
                <wp:positionV relativeFrom="paragraph">
                  <wp:posOffset>3811905</wp:posOffset>
                </wp:positionV>
                <wp:extent cx="2194560" cy="1287780"/>
                <wp:effectExtent l="0" t="0" r="15240" b="26670"/>
                <wp:wrapNone/>
                <wp:docPr id="6" name="Прямоугольник 6"/>
                <wp:cNvGraphicFramePr/>
                <a:graphic xmlns:a="http://schemas.openxmlformats.org/drawingml/2006/main">
                  <a:graphicData uri="http://schemas.microsoft.com/office/word/2010/wordprocessingShape">
                    <wps:wsp>
                      <wps:cNvSpPr/>
                      <wps:spPr>
                        <a:xfrm>
                          <a:off x="0" y="0"/>
                          <a:ext cx="2194560" cy="1287780"/>
                        </a:xfrm>
                        <a:prstGeom prst="rect">
                          <a:avLst/>
                        </a:prstGeom>
                      </wps:spPr>
                      <wps:style>
                        <a:lnRef idx="2">
                          <a:schemeClr val="dk1"/>
                        </a:lnRef>
                        <a:fillRef idx="1">
                          <a:schemeClr val="lt1"/>
                        </a:fillRef>
                        <a:effectRef idx="0">
                          <a:schemeClr val="dk1"/>
                        </a:effectRef>
                        <a:fontRef idx="minor">
                          <a:schemeClr val="dk1"/>
                        </a:fontRef>
                      </wps:style>
                      <wps:txbx>
                        <w:txbxContent>
                          <w:p w14:paraId="3C24BB32" w14:textId="77777777" w:rsidR="00EB485A" w:rsidRPr="00EB485A" w:rsidRDefault="00EB485A" w:rsidP="00EB485A">
                            <w:pPr>
                              <w:spacing w:after="0" w:line="240" w:lineRule="auto"/>
                              <w:jc w:val="both"/>
                              <w:rPr>
                                <w:rFonts w:ascii="Times New Roman" w:hAnsi="Times New Roman" w:cs="Times New Roman"/>
                                <w:bCs/>
                                <w:lang w:val="uk-UA"/>
                              </w:rPr>
                            </w:pPr>
                            <w:r w:rsidRPr="00EB485A">
                              <w:rPr>
                                <w:rFonts w:ascii="Times New Roman" w:hAnsi="Times New Roman" w:cs="Times New Roman"/>
                                <w:bCs/>
                              </w:rPr>
                              <w:t>Аналітичний (1–3 місяці</w:t>
                            </w:r>
                            <w:r w:rsidRPr="00EB485A">
                              <w:rPr>
                                <w:rFonts w:ascii="Times New Roman" w:hAnsi="Times New Roman" w:cs="Times New Roman"/>
                                <w:bCs/>
                                <w:lang w:val="uk-UA"/>
                              </w:rPr>
                              <w:t>)</w:t>
                            </w:r>
                          </w:p>
                          <w:p w14:paraId="0AE0C8DB" w14:textId="77777777" w:rsidR="00EB485A" w:rsidRPr="00EB485A" w:rsidRDefault="00EB485A" w:rsidP="00EB485A">
                            <w:pPr>
                              <w:spacing w:after="0" w:line="240" w:lineRule="auto"/>
                              <w:jc w:val="both"/>
                              <w:rPr>
                                <w:rFonts w:ascii="Times New Roman" w:hAnsi="Times New Roman" w:cs="Times New Roman"/>
                                <w:lang w:val="uk-UA"/>
                              </w:rPr>
                            </w:pPr>
                            <w:r w:rsidRPr="00EB485A">
                              <w:rPr>
                                <w:rFonts w:ascii="Times New Roman" w:hAnsi="Times New Roman" w:cs="Times New Roman"/>
                                <w:bCs/>
                                <w:lang w:val="uk-UA"/>
                              </w:rPr>
                              <w:t>Нормативно-правовий (3–6 місяців)</w:t>
                            </w:r>
                            <w:r w:rsidRPr="00EB485A">
                              <w:rPr>
                                <w:rFonts w:ascii="Times New Roman" w:hAnsi="Times New Roman" w:cs="Times New Roman"/>
                                <w:lang w:val="uk-UA"/>
                              </w:rPr>
                              <w:t>:</w:t>
                            </w:r>
                          </w:p>
                          <w:p w14:paraId="4A0117EF" w14:textId="00903FFB" w:rsidR="00EB485A" w:rsidRPr="00EB485A" w:rsidRDefault="00EB485A" w:rsidP="00EB485A">
                            <w:pPr>
                              <w:spacing w:after="0" w:line="240" w:lineRule="auto"/>
                              <w:jc w:val="both"/>
                              <w:rPr>
                                <w:rFonts w:ascii="Times New Roman" w:hAnsi="Times New Roman" w:cs="Times New Roman"/>
                                <w:lang w:val="uk-UA"/>
                              </w:rPr>
                            </w:pPr>
                            <w:r w:rsidRPr="00EB485A">
                              <w:rPr>
                                <w:rFonts w:ascii="Times New Roman" w:hAnsi="Times New Roman" w:cs="Times New Roman"/>
                                <w:bCs/>
                                <w:lang w:val="uk-UA"/>
                              </w:rPr>
                              <w:t>Організаційний (6–12 місяців)</w:t>
                            </w:r>
                          </w:p>
                          <w:p w14:paraId="542358FC" w14:textId="059CA719" w:rsidR="00EB485A" w:rsidRPr="00EB485A" w:rsidRDefault="00EB485A" w:rsidP="00EB485A">
                            <w:pPr>
                              <w:jc w:val="both"/>
                              <w:rPr>
                                <w:rFonts w:ascii="Times New Roman" w:hAnsi="Times New Roman" w:cs="Times New Roman"/>
                                <w:lang w:val="uk-UA"/>
                              </w:rPr>
                            </w:pPr>
                            <w:r w:rsidRPr="00EB485A">
                              <w:rPr>
                                <w:rFonts w:ascii="Times New Roman" w:hAnsi="Times New Roman" w:cs="Times New Roman"/>
                                <w:bCs/>
                                <w:lang w:val="uk-UA"/>
                              </w:rPr>
                              <w:t>Практичний (12–24 місяці)</w:t>
                            </w:r>
                            <w:r w:rsidRPr="00EB485A">
                              <w:rPr>
                                <w:rFonts w:ascii="Times New Roman" w:hAnsi="Times New Roman" w:cs="Times New Roman"/>
                                <w:lang w:val="uk-UA"/>
                              </w:rPr>
                              <w:t xml:space="preserve"> </w:t>
                            </w:r>
                            <w:r w:rsidRPr="00EB485A">
                              <w:rPr>
                                <w:rFonts w:ascii="Times New Roman" w:hAnsi="Times New Roman" w:cs="Times New Roman"/>
                                <w:bCs/>
                                <w:lang w:val="uk-UA"/>
                              </w:rPr>
                              <w:t>Оціночний (постійно)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751B" id="Прямоугольник 6" o:spid="_x0000_s1029" style="position:absolute;left:0;text-align:left;margin-left:378.9pt;margin-top:300.15pt;width:172.8pt;height:10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" fillcolor="white [3201]" strokecolor="black [3200]" strokeweight="2pt">
                <v:textbox>
                  <w:txbxContent>
                    <w:p w14:paraId="3C24BB32" w14:textId="77777777" w:rsidR="00EB485A" w:rsidRPr="00EB485A" w:rsidRDefault="00EB485A" w:rsidP="00EB485A">
                      <w:pPr>
                        <w:spacing w:after="0" w:line="240" w:lineRule="auto"/>
                        <w:jc w:val="both"/>
                        <w:rPr>
                          <w:rFonts w:ascii="Times New Roman" w:hAnsi="Times New Roman" w:cs="Times New Roman"/>
                          <w:bCs/>
                          <w:lang w:val="uk-UA"/>
                        </w:rPr>
                      </w:pPr>
                      <w:r w:rsidRPr="00EB485A">
                        <w:rPr>
                          <w:rFonts w:ascii="Times New Roman" w:hAnsi="Times New Roman" w:cs="Times New Roman"/>
                          <w:bCs/>
                        </w:rPr>
                        <w:t>Аналітичний (1–3 місяці</w:t>
                      </w:r>
                      <w:r w:rsidRPr="00EB485A">
                        <w:rPr>
                          <w:rFonts w:ascii="Times New Roman" w:hAnsi="Times New Roman" w:cs="Times New Roman"/>
                          <w:bCs/>
                          <w:lang w:val="uk-UA"/>
                        </w:rPr>
                        <w:t>)</w:t>
                      </w:r>
                    </w:p>
                    <w:p w14:paraId="0AE0C8DB" w14:textId="77777777" w:rsidR="00EB485A" w:rsidRPr="00EB485A" w:rsidRDefault="00EB485A" w:rsidP="00EB485A">
                      <w:pPr>
                        <w:spacing w:after="0" w:line="240" w:lineRule="auto"/>
                        <w:jc w:val="both"/>
                        <w:rPr>
                          <w:rFonts w:ascii="Times New Roman" w:hAnsi="Times New Roman" w:cs="Times New Roman"/>
                          <w:lang w:val="uk-UA"/>
                        </w:rPr>
                      </w:pPr>
                      <w:r w:rsidRPr="00EB485A">
                        <w:rPr>
                          <w:rFonts w:ascii="Times New Roman" w:hAnsi="Times New Roman" w:cs="Times New Roman"/>
                          <w:bCs/>
                          <w:lang w:val="uk-UA"/>
                        </w:rPr>
                        <w:t>Нормативно-правовий (3–6 місяців)</w:t>
                      </w:r>
                      <w:r w:rsidRPr="00EB485A">
                        <w:rPr>
                          <w:rFonts w:ascii="Times New Roman" w:hAnsi="Times New Roman" w:cs="Times New Roman"/>
                          <w:lang w:val="uk-UA"/>
                        </w:rPr>
                        <w:t>:</w:t>
                      </w:r>
                    </w:p>
                    <w:p w14:paraId="4A0117EF" w14:textId="00903FFB" w:rsidR="00EB485A" w:rsidRPr="00EB485A" w:rsidRDefault="00EB485A" w:rsidP="00EB485A">
                      <w:pPr>
                        <w:spacing w:after="0" w:line="240" w:lineRule="auto"/>
                        <w:jc w:val="both"/>
                        <w:rPr>
                          <w:rFonts w:ascii="Times New Roman" w:hAnsi="Times New Roman" w:cs="Times New Roman"/>
                          <w:lang w:val="uk-UA"/>
                        </w:rPr>
                      </w:pPr>
                      <w:r w:rsidRPr="00EB485A">
                        <w:rPr>
                          <w:rFonts w:ascii="Times New Roman" w:hAnsi="Times New Roman" w:cs="Times New Roman"/>
                          <w:bCs/>
                          <w:lang w:val="uk-UA"/>
                        </w:rPr>
                        <w:t>Організаційний (6–12 місяців)</w:t>
                      </w:r>
                    </w:p>
                    <w:p w14:paraId="542358FC" w14:textId="059CA719" w:rsidR="00EB485A" w:rsidRPr="00EB485A" w:rsidRDefault="00EB485A" w:rsidP="00EB485A">
                      <w:pPr>
                        <w:jc w:val="both"/>
                        <w:rPr>
                          <w:rFonts w:ascii="Times New Roman" w:hAnsi="Times New Roman" w:cs="Times New Roman"/>
                          <w:lang w:val="uk-UA"/>
                        </w:rPr>
                      </w:pPr>
                      <w:r w:rsidRPr="00EB485A">
                        <w:rPr>
                          <w:rFonts w:ascii="Times New Roman" w:hAnsi="Times New Roman" w:cs="Times New Roman"/>
                          <w:bCs/>
                          <w:lang w:val="uk-UA"/>
                        </w:rPr>
                        <w:t>Практичний (12–24 місяці)</w:t>
                      </w:r>
                      <w:r w:rsidRPr="00EB485A">
                        <w:rPr>
                          <w:rFonts w:ascii="Times New Roman" w:hAnsi="Times New Roman" w:cs="Times New Roman"/>
                          <w:lang w:val="uk-UA"/>
                        </w:rPr>
                        <w:t xml:space="preserve"> </w:t>
                      </w:r>
                      <w:r w:rsidRPr="00EB485A">
                        <w:rPr>
                          <w:rFonts w:ascii="Times New Roman" w:hAnsi="Times New Roman" w:cs="Times New Roman"/>
                          <w:bCs/>
                          <w:lang w:val="uk-UA"/>
                        </w:rPr>
                        <w:t>Оціночний (постійно)</w:t>
                      </w:r>
                    </w:p>
                  </w:txbxContent>
                </v:textbox>
              </v:rect>
            </w:pict>
          </mc:Fallback>
        </mc:AlternateContent>
      </w:r>
      <w:r w:rsidR="00A03D86">
        <w:rPr>
          <w:rFonts w:ascii="Times New Roman" w:hAnsi="Times New Roman" w:cs="Times New Roman"/>
          <w:bCs/>
          <w:noProof/>
          <w:sz w:val="28"/>
          <w:szCs w:val="28"/>
          <w:lang w:eastAsia="ru-RU"/>
        </w:rPr>
        <mc:AlternateContent>
          <mc:Choice Requires="wps">
            <w:drawing>
              <wp:anchor distT="0" distB="0" distL="114300" distR="114300" simplePos="0" relativeHeight="251667456" behindDoc="0" locked="0" layoutInCell="1" allowOverlap="1" wp14:anchorId="54E19A19" wp14:editId="4BFCFF59">
                <wp:simplePos x="0" y="0"/>
                <wp:positionH relativeFrom="column">
                  <wp:posOffset>8096250</wp:posOffset>
                </wp:positionH>
                <wp:positionV relativeFrom="paragraph">
                  <wp:posOffset>-889635</wp:posOffset>
                </wp:positionV>
                <wp:extent cx="1729740" cy="845820"/>
                <wp:effectExtent l="38100" t="0" r="22860" b="30480"/>
                <wp:wrapNone/>
                <wp:docPr id="21" name="Стрелка вниз 21"/>
                <wp:cNvGraphicFramePr/>
                <a:graphic xmlns:a="http://schemas.openxmlformats.org/drawingml/2006/main">
                  <a:graphicData uri="http://schemas.microsoft.com/office/word/2010/wordprocessingShape">
                    <wps:wsp>
                      <wps:cNvSpPr/>
                      <wps:spPr>
                        <a:xfrm>
                          <a:off x="0" y="0"/>
                          <a:ext cx="1729740" cy="845820"/>
                        </a:xfrm>
                        <a:prstGeom prst="downArrow">
                          <a:avLst>
                            <a:gd name="adj1" fmla="val 50000"/>
                            <a:gd name="adj2" fmla="val 49099"/>
                          </a:avLst>
                        </a:prstGeom>
                      </wps:spPr>
                      <wps:style>
                        <a:lnRef idx="2">
                          <a:schemeClr val="dk1"/>
                        </a:lnRef>
                        <a:fillRef idx="1">
                          <a:schemeClr val="lt1"/>
                        </a:fillRef>
                        <a:effectRef idx="0">
                          <a:schemeClr val="dk1"/>
                        </a:effectRef>
                        <a:fontRef idx="minor">
                          <a:schemeClr val="dk1"/>
                        </a:fontRef>
                      </wps:style>
                      <wps:txbx>
                        <w:txbxContent>
                          <w:p w14:paraId="13264F98" w14:textId="15F3A464" w:rsidR="00A03D86" w:rsidRPr="00A03D86" w:rsidRDefault="00A03D86" w:rsidP="00A03D86">
                            <w:pPr>
                              <w:jc w:val="center"/>
                              <w:rPr>
                                <w:lang w:val="uk-UA"/>
                              </w:rPr>
                            </w:pPr>
                            <w:r w:rsidRPr="00A03D86">
                              <w:rPr>
                                <w:rFonts w:ascii="Times New Roman" w:hAnsi="Times New Roman" w:cs="Times New Roman"/>
                                <w:lang w:val="uk-UA"/>
                              </w:rPr>
                              <w:t>Шляхи міні</w:t>
                            </w:r>
                            <w:r>
                              <w:rPr>
                                <w:lang w:val="uk-UA"/>
                              </w:rPr>
                              <w:t>мізації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19A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30" type="#_x0000_t67" style="position:absolute;left:0;text-align:left;margin-left:637.5pt;margin-top:-70.05pt;width:136.2pt;height:6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" adj="10995" fillcolor="white [3201]" strokecolor="black [3200]" strokeweight="2pt">
                <v:textbox>
                  <w:txbxContent>
                    <w:p w14:paraId="13264F98" w14:textId="15F3A464" w:rsidR="00A03D86" w:rsidRPr="00A03D86" w:rsidRDefault="00A03D86" w:rsidP="00A03D86">
                      <w:pPr>
                        <w:jc w:val="center"/>
                        <w:rPr>
                          <w:lang w:val="uk-UA"/>
                        </w:rPr>
                      </w:pPr>
                      <w:r w:rsidRPr="00A03D86">
                        <w:rPr>
                          <w:rFonts w:ascii="Times New Roman" w:hAnsi="Times New Roman" w:cs="Times New Roman"/>
                          <w:lang w:val="uk-UA"/>
                        </w:rPr>
                        <w:t>Шляхи міні</w:t>
                      </w:r>
                      <w:r>
                        <w:rPr>
                          <w:lang w:val="uk-UA"/>
                        </w:rPr>
                        <w:t>мізації</w:t>
                      </w:r>
                    </w:p>
                  </w:txbxContent>
                </v:textbox>
              </v:shape>
            </w:pict>
          </mc:Fallback>
        </mc:AlternateContent>
      </w:r>
      <w:r w:rsidR="00A03D86">
        <w:rPr>
          <w:rFonts w:ascii="Times New Roman" w:hAnsi="Times New Roman" w:cs="Times New Roman"/>
          <w:bCs/>
          <w:noProof/>
          <w:sz w:val="28"/>
          <w:szCs w:val="28"/>
          <w:lang w:eastAsia="ru-RU"/>
        </w:rPr>
        <mc:AlternateContent>
          <mc:Choice Requires="wps">
            <w:drawing>
              <wp:anchor distT="0" distB="0" distL="114300" distR="114300" simplePos="0" relativeHeight="251666432" behindDoc="0" locked="0" layoutInCell="1" allowOverlap="1" wp14:anchorId="1801879D" wp14:editId="297F712B">
                <wp:simplePos x="0" y="0"/>
                <wp:positionH relativeFrom="column">
                  <wp:posOffset>9048750</wp:posOffset>
                </wp:positionH>
                <wp:positionV relativeFrom="paragraph">
                  <wp:posOffset>1905</wp:posOffset>
                </wp:positionV>
                <wp:extent cx="822960" cy="4602480"/>
                <wp:effectExtent l="0" t="0" r="15240" b="26670"/>
                <wp:wrapNone/>
                <wp:docPr id="19" name="Прямоугольник 19"/>
                <wp:cNvGraphicFramePr/>
                <a:graphic xmlns:a="http://schemas.openxmlformats.org/drawingml/2006/main">
                  <a:graphicData uri="http://schemas.microsoft.com/office/word/2010/wordprocessingShape">
                    <wps:wsp>
                      <wps:cNvSpPr/>
                      <wps:spPr>
                        <a:xfrm>
                          <a:off x="0" y="0"/>
                          <a:ext cx="822960" cy="4602480"/>
                        </a:xfrm>
                        <a:prstGeom prst="rect">
                          <a:avLst/>
                        </a:prstGeom>
                      </wps:spPr>
                      <wps:style>
                        <a:lnRef idx="2">
                          <a:schemeClr val="dk1"/>
                        </a:lnRef>
                        <a:fillRef idx="1">
                          <a:schemeClr val="lt1"/>
                        </a:fillRef>
                        <a:effectRef idx="0">
                          <a:schemeClr val="dk1"/>
                        </a:effectRef>
                        <a:fontRef idx="minor">
                          <a:schemeClr val="dk1"/>
                        </a:fontRef>
                      </wps:style>
                      <wps:txbx>
                        <w:txbxContent>
                          <w:p w14:paraId="5B8C5197" w14:textId="77777777" w:rsidR="00A03D86" w:rsidRDefault="00A03D86" w:rsidP="00A03D86">
                            <w:pPr>
                              <w:jc w:val="center"/>
                              <w:rPr>
                                <w:lang w:val="uk-UA"/>
                              </w:rPr>
                            </w:pPr>
                            <w:r w:rsidRPr="00A03D86">
                              <w:t>  Податкові пільги для фондів (І</w:t>
                            </w:r>
                            <w:r>
                              <w:t>нноваційний фонд підприємства).</w:t>
                            </w:r>
                          </w:p>
                          <w:p w14:paraId="2E26ACA7" w14:textId="38A24B67" w:rsidR="00A03D86" w:rsidRPr="00A03D86" w:rsidRDefault="00A03D86" w:rsidP="00A03D86">
                            <w:pPr>
                              <w:spacing w:after="0" w:line="240" w:lineRule="auto"/>
                              <w:jc w:val="both"/>
                              <w:rPr>
                                <w:rFonts w:ascii="Times New Roman" w:hAnsi="Times New Roman" w:cs="Times New Roman"/>
                              </w:rPr>
                            </w:pPr>
                            <w:r>
                              <w:rPr>
                                <w:rFonts w:ascii="Times New Roman" w:hAnsi="Times New Roman" w:cs="Times New Roman"/>
                              </w:rPr>
                              <w:t xml:space="preserve"> </w:t>
                            </w:r>
                            <w:r w:rsidRPr="00A03D86">
                              <w:rPr>
                                <w:rFonts w:ascii="Times New Roman" w:hAnsi="Times New Roman" w:cs="Times New Roman"/>
                              </w:rPr>
                              <w:t xml:space="preserve">Цифрові платформи для звітності (Державно-приватне партнерство). </w:t>
                            </w:r>
                          </w:p>
                          <w:p w14:paraId="56BF7ACA" w14:textId="77777777" w:rsidR="00A03D86" w:rsidRPr="00A03D86" w:rsidRDefault="00A03D86" w:rsidP="00A03D86">
                            <w:pPr>
                              <w:spacing w:after="0" w:line="240" w:lineRule="auto"/>
                              <w:jc w:val="both"/>
                              <w:rPr>
                                <w:rFonts w:ascii="Times New Roman" w:hAnsi="Times New Roman" w:cs="Times New Roman"/>
                                <w:lang w:val="uk-UA"/>
                              </w:rPr>
                            </w:pPr>
                            <w:r w:rsidRPr="00A03D86">
                              <w:rPr>
                                <w:rFonts w:ascii="Times New Roman" w:hAnsi="Times New Roman" w:cs="Times New Roman"/>
                              </w:rPr>
                              <w:t xml:space="preserve">Гарантії від держави (Венчурний капітал). </w:t>
                            </w:r>
                          </w:p>
                          <w:p w14:paraId="300F2BDB" w14:textId="0AD68B86" w:rsidR="00A03D86" w:rsidRPr="00A03D86" w:rsidRDefault="00A03D86" w:rsidP="00A03D86">
                            <w:pPr>
                              <w:spacing w:after="0" w:line="240" w:lineRule="auto"/>
                              <w:jc w:val="both"/>
                            </w:pPr>
                            <w:r w:rsidRPr="00A03D86">
                              <w:rPr>
                                <w:rFonts w:ascii="Times New Roman" w:hAnsi="Times New Roman" w:cs="Times New Roman"/>
                              </w:rPr>
                              <w:t>Інформаційні кампанії (Краудфандинг</w:t>
                            </w:r>
                            <w:r w:rsidRPr="00A03D86">
                              <w:t xml:space="preserve">). </w:t>
                            </w:r>
                          </w:p>
                          <w:p w14:paraId="77FC053A" w14:textId="38041349" w:rsidR="00A03D86" w:rsidRPr="00A03D86" w:rsidRDefault="00A03D86" w:rsidP="00A03D86">
                            <w:pPr>
                              <w:rPr>
                                <w:lang w:val="uk-UA"/>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1879D" id="Прямоугольник 19" o:spid="_x0000_s1031" style="position:absolute;left:0;text-align:left;margin-left:712.5pt;margin-top:.15pt;width:64.8pt;height:36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" fillcolor="white [3201]" strokecolor="black [3200]" strokeweight="2pt">
                <v:textbox style="layout-flow:vertical">
                  <w:txbxContent>
                    <w:p w14:paraId="5B8C5197" w14:textId="77777777" w:rsidR="00A03D86" w:rsidRDefault="00A03D86" w:rsidP="00A03D86">
                      <w:pPr>
                        <w:jc w:val="center"/>
                        <w:rPr>
                          <w:lang w:val="uk-UA"/>
                        </w:rPr>
                      </w:pPr>
                      <w:r w:rsidRPr="00A03D86">
                        <w:t>  Податкові пільги для фондів (І</w:t>
                      </w:r>
                      <w:r>
                        <w:t>нноваційний фонд підприємства).</w:t>
                      </w:r>
                    </w:p>
                    <w:p w14:paraId="2E26ACA7" w14:textId="38A24B67" w:rsidR="00A03D86" w:rsidRPr="00A03D86" w:rsidRDefault="00A03D86" w:rsidP="00A03D86">
                      <w:pPr>
                        <w:spacing w:after="0" w:line="240" w:lineRule="auto"/>
                        <w:jc w:val="both"/>
                        <w:rPr>
                          <w:rFonts w:ascii="Times New Roman" w:hAnsi="Times New Roman" w:cs="Times New Roman"/>
                        </w:rPr>
                      </w:pPr>
                      <w:r>
                        <w:rPr>
                          <w:rFonts w:ascii="Times New Roman" w:hAnsi="Times New Roman" w:cs="Times New Roman"/>
                        </w:rPr>
                        <w:t xml:space="preserve"> </w:t>
                      </w:r>
                      <w:r w:rsidRPr="00A03D86">
                        <w:rPr>
                          <w:rFonts w:ascii="Times New Roman" w:hAnsi="Times New Roman" w:cs="Times New Roman"/>
                        </w:rPr>
                        <w:t xml:space="preserve">Цифрові платформи для звітності (Державно-приватне партнерство). </w:t>
                      </w:r>
                    </w:p>
                    <w:p w14:paraId="56BF7ACA" w14:textId="77777777" w:rsidR="00A03D86" w:rsidRPr="00A03D86" w:rsidRDefault="00A03D86" w:rsidP="00A03D86">
                      <w:pPr>
                        <w:spacing w:after="0" w:line="240" w:lineRule="auto"/>
                        <w:jc w:val="both"/>
                        <w:rPr>
                          <w:rFonts w:ascii="Times New Roman" w:hAnsi="Times New Roman" w:cs="Times New Roman"/>
                          <w:lang w:val="uk-UA"/>
                        </w:rPr>
                      </w:pPr>
                      <w:r w:rsidRPr="00A03D86">
                        <w:rPr>
                          <w:rFonts w:ascii="Times New Roman" w:hAnsi="Times New Roman" w:cs="Times New Roman"/>
                        </w:rPr>
                        <w:t xml:space="preserve">Гарантії від держави (Венчурний капітал). </w:t>
                      </w:r>
                    </w:p>
                    <w:p w14:paraId="300F2BDB" w14:textId="0AD68B86" w:rsidR="00A03D86" w:rsidRPr="00A03D86" w:rsidRDefault="00A03D86" w:rsidP="00A03D86">
                      <w:pPr>
                        <w:spacing w:after="0" w:line="240" w:lineRule="auto"/>
                        <w:jc w:val="both"/>
                      </w:pPr>
                      <w:r w:rsidRPr="00A03D86">
                        <w:rPr>
                          <w:rFonts w:ascii="Times New Roman" w:hAnsi="Times New Roman" w:cs="Times New Roman"/>
                        </w:rPr>
                        <w:t>Інформаційні кампанії (Краудфандинг</w:t>
                      </w:r>
                      <w:r w:rsidRPr="00A03D86">
                        <w:t xml:space="preserve">). </w:t>
                      </w:r>
                    </w:p>
                    <w:p w14:paraId="77FC053A" w14:textId="38041349" w:rsidR="00A03D86" w:rsidRPr="00A03D86" w:rsidRDefault="00A03D86" w:rsidP="00A03D86">
                      <w:pPr>
                        <w:rPr>
                          <w:lang w:val="uk-UA"/>
                        </w:rPr>
                      </w:pPr>
                    </w:p>
                  </w:txbxContent>
                </v:textbox>
              </v:rect>
            </w:pict>
          </mc:Fallback>
        </mc:AlternateContent>
      </w:r>
      <w:r w:rsidR="00077448">
        <w:rPr>
          <w:rFonts w:ascii="Times New Roman" w:hAnsi="Times New Roman" w:cs="Times New Roman"/>
          <w:bCs/>
          <w:noProof/>
          <w:sz w:val="28"/>
          <w:szCs w:val="28"/>
          <w:lang w:eastAsia="ru-RU"/>
        </w:rPr>
        <mc:AlternateContent>
          <mc:Choice Requires="wps">
            <w:drawing>
              <wp:anchor distT="0" distB="0" distL="114300" distR="114300" simplePos="0" relativeHeight="251665408" behindDoc="0" locked="0" layoutInCell="1" allowOverlap="1" wp14:anchorId="7E38F795" wp14:editId="6F454576">
                <wp:simplePos x="0" y="0"/>
                <wp:positionH relativeFrom="column">
                  <wp:posOffset>521970</wp:posOffset>
                </wp:positionH>
                <wp:positionV relativeFrom="paragraph">
                  <wp:posOffset>3850005</wp:posOffset>
                </wp:positionV>
                <wp:extent cx="2225040" cy="754380"/>
                <wp:effectExtent l="0" t="19050" r="41910" b="45720"/>
                <wp:wrapNone/>
                <wp:docPr id="18" name="Стрелка вправо 18"/>
                <wp:cNvGraphicFramePr/>
                <a:graphic xmlns:a="http://schemas.openxmlformats.org/drawingml/2006/main">
                  <a:graphicData uri="http://schemas.microsoft.com/office/word/2010/wordprocessingShape">
                    <wps:wsp>
                      <wps:cNvSpPr/>
                      <wps:spPr>
                        <a:xfrm>
                          <a:off x="0" y="0"/>
                          <a:ext cx="2225040" cy="754380"/>
                        </a:xfrm>
                        <a:prstGeom prst="rightArrow">
                          <a:avLst/>
                        </a:prstGeom>
                      </wps:spPr>
                      <wps:style>
                        <a:lnRef idx="2">
                          <a:schemeClr val="dk1"/>
                        </a:lnRef>
                        <a:fillRef idx="1">
                          <a:schemeClr val="lt1"/>
                        </a:fillRef>
                        <a:effectRef idx="0">
                          <a:schemeClr val="dk1"/>
                        </a:effectRef>
                        <a:fontRef idx="minor">
                          <a:schemeClr val="dk1"/>
                        </a:fontRef>
                      </wps:style>
                      <wps:txbx>
                        <w:txbxContent>
                          <w:p w14:paraId="714A6A29" w14:textId="24C28D7C" w:rsidR="00077448" w:rsidRPr="00077448" w:rsidRDefault="00077448" w:rsidP="00077448">
                            <w:pPr>
                              <w:jc w:val="center"/>
                              <w:rPr>
                                <w:rFonts w:ascii="Times New Roman" w:hAnsi="Times New Roman" w:cs="Times New Roman"/>
                                <w:sz w:val="32"/>
                                <w:szCs w:val="32"/>
                                <w:lang w:val="uk-UA"/>
                              </w:rPr>
                            </w:pPr>
                            <w:r w:rsidRPr="00077448">
                              <w:rPr>
                                <w:rFonts w:ascii="Times New Roman" w:hAnsi="Times New Roman" w:cs="Times New Roman"/>
                                <w:sz w:val="32"/>
                                <w:szCs w:val="32"/>
                                <w:lang w:val="uk-UA"/>
                              </w:rPr>
                              <w:t>Ризики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38F795" id="Стрелка вправо 18" o:spid="_x0000_s1032" type="#_x0000_t13" style="position:absolute;left:0;text-align:left;margin-left:41.1pt;margin-top:303.15pt;width:175.2pt;height:59.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" adj="17938" fillcolor="white [3201]" strokecolor="black [3200]" strokeweight="2pt">
                <v:textbox>
                  <w:txbxContent>
                    <w:p w14:paraId="714A6A29" w14:textId="24C28D7C" w:rsidR="00077448" w:rsidRPr="00077448" w:rsidRDefault="00077448" w:rsidP="00077448">
                      <w:pPr>
                        <w:jc w:val="center"/>
                        <w:rPr>
                          <w:rFonts w:ascii="Times New Roman" w:hAnsi="Times New Roman" w:cs="Times New Roman"/>
                          <w:sz w:val="32"/>
                          <w:szCs w:val="32"/>
                          <w:lang w:val="uk-UA"/>
                        </w:rPr>
                      </w:pPr>
                      <w:r w:rsidRPr="00077448">
                        <w:rPr>
                          <w:rFonts w:ascii="Times New Roman" w:hAnsi="Times New Roman" w:cs="Times New Roman"/>
                          <w:sz w:val="32"/>
                          <w:szCs w:val="32"/>
                          <w:lang w:val="uk-UA"/>
                        </w:rPr>
                        <w:t>Ризики</w:t>
                      </w:r>
                    </w:p>
                  </w:txbxContent>
                </v:textbox>
              </v:shape>
            </w:pict>
          </mc:Fallback>
        </mc:AlternateContent>
      </w:r>
      <w:r w:rsidR="00077448">
        <w:rPr>
          <w:rFonts w:ascii="Times New Roman" w:hAnsi="Times New Roman" w:cs="Times New Roman"/>
          <w:bCs/>
          <w:noProof/>
          <w:sz w:val="28"/>
          <w:szCs w:val="28"/>
          <w:lang w:eastAsia="ru-RU"/>
        </w:rPr>
        <mc:AlternateContent>
          <mc:Choice Requires="wps">
            <w:drawing>
              <wp:anchor distT="0" distB="0" distL="114300" distR="114300" simplePos="0" relativeHeight="251663360" behindDoc="0" locked="0" layoutInCell="1" allowOverlap="1" wp14:anchorId="7DA5B769" wp14:editId="209D5A15">
                <wp:simplePos x="0" y="0"/>
                <wp:positionH relativeFrom="column">
                  <wp:posOffset>-407670</wp:posOffset>
                </wp:positionH>
                <wp:positionV relativeFrom="paragraph">
                  <wp:posOffset>-394335</wp:posOffset>
                </wp:positionV>
                <wp:extent cx="822960" cy="5509260"/>
                <wp:effectExtent l="0" t="0" r="15240" b="15240"/>
                <wp:wrapNone/>
                <wp:docPr id="16" name="Прямоугольник 16"/>
                <wp:cNvGraphicFramePr/>
                <a:graphic xmlns:a="http://schemas.openxmlformats.org/drawingml/2006/main">
                  <a:graphicData uri="http://schemas.microsoft.com/office/word/2010/wordprocessingShape">
                    <wps:wsp>
                      <wps:cNvSpPr/>
                      <wps:spPr>
                        <a:xfrm>
                          <a:off x="0" y="0"/>
                          <a:ext cx="822960" cy="5509260"/>
                        </a:xfrm>
                        <a:prstGeom prst="rect">
                          <a:avLst/>
                        </a:prstGeom>
                      </wps:spPr>
                      <wps:style>
                        <a:lnRef idx="2">
                          <a:schemeClr val="dk1"/>
                        </a:lnRef>
                        <a:fillRef idx="1">
                          <a:schemeClr val="lt1"/>
                        </a:fillRef>
                        <a:effectRef idx="0">
                          <a:schemeClr val="dk1"/>
                        </a:effectRef>
                        <a:fontRef idx="minor">
                          <a:schemeClr val="dk1"/>
                        </a:fontRef>
                      </wps:style>
                      <wps:txbx>
                        <w:txbxContent>
                          <w:p w14:paraId="35851A35" w14:textId="77777777" w:rsidR="00077448" w:rsidRDefault="00077448" w:rsidP="00077448">
                            <w:pPr>
                              <w:jc w:val="both"/>
                              <w:rPr>
                                <w:rFonts w:ascii="Times New Roman" w:hAnsi="Times New Roman" w:cs="Times New Roman"/>
                                <w:sz w:val="24"/>
                                <w:szCs w:val="24"/>
                                <w:lang w:val="uk-UA"/>
                              </w:rPr>
                            </w:pPr>
                            <w:r w:rsidRPr="00077448">
                              <w:t>Мета к</w:t>
                            </w:r>
                            <w:r w:rsidRPr="00077448">
                              <w:rPr>
                                <w:rFonts w:ascii="Times New Roman" w:hAnsi="Times New Roman" w:cs="Times New Roman"/>
                                <w:sz w:val="24"/>
                                <w:szCs w:val="24"/>
                              </w:rPr>
                              <w:t xml:space="preserve">онцепції удосконалення механізму фінансування інноваційної діяльності </w:t>
                            </w:r>
                          </w:p>
                          <w:p w14:paraId="0C9A07A6" w14:textId="4869F765" w:rsidR="00077448" w:rsidRPr="00077448" w:rsidRDefault="00077448" w:rsidP="00077448">
                            <w:pPr>
                              <w:jc w:val="both"/>
                              <w:rPr>
                                <w:lang w:val="uk-UA"/>
                              </w:rPr>
                            </w:pPr>
                            <w:r>
                              <w:rPr>
                                <w:rFonts w:ascii="Times New Roman" w:hAnsi="Times New Roman" w:cs="Times New Roman"/>
                                <w:sz w:val="24"/>
                                <w:szCs w:val="24"/>
                                <w:lang w:val="uk-UA"/>
                              </w:rPr>
                              <w:t>Мета р</w:t>
                            </w:r>
                            <w:r w:rsidRPr="00077448">
                              <w:rPr>
                                <w:rFonts w:ascii="Times New Roman" w:hAnsi="Times New Roman" w:cs="Times New Roman"/>
                                <w:sz w:val="24"/>
                                <w:szCs w:val="24"/>
                                <w:lang w:val="uk-UA"/>
                              </w:rPr>
                              <w:t>олягає в створенні ефективної та диверсифікованої системи фінансування інноваційних проєктів шляхом інтеграції різних джерел ресурсів (внутрішніх, державних, приватних, міжнародних)</w:t>
                            </w:r>
                            <w:r>
                              <w:rPr>
                                <w:rFonts w:ascii="Times New Roman" w:hAnsi="Times New Roman" w:cs="Times New Roman"/>
                                <w:sz w:val="24"/>
                                <w:szCs w:val="24"/>
                                <w:lang w:val="uk-UA"/>
                              </w:rPr>
                              <w:t>.</w:t>
                            </w:r>
                          </w:p>
                          <w:p w14:paraId="1EDB9415" w14:textId="77777777" w:rsidR="00077448" w:rsidRPr="00077448" w:rsidRDefault="00077448" w:rsidP="00077448">
                            <w:pPr>
                              <w:jc w:val="center"/>
                              <w:rPr>
                                <w:lang w:val="uk-UA"/>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5B769" id="Прямоугольник 16" o:spid="_x0000_s1033" style="position:absolute;left:0;text-align:left;margin-left:-32.1pt;margin-top:-31.05pt;width:64.8pt;height:43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" fillcolor="white [3201]" strokecolor="black [3200]" strokeweight="2pt">
                <v:textbox style="layout-flow:vertical;mso-layout-flow-alt:bottom-to-top">
                  <w:txbxContent>
                    <w:p w14:paraId="35851A35" w14:textId="77777777" w:rsidR="00077448" w:rsidRDefault="00077448" w:rsidP="00077448">
                      <w:pPr>
                        <w:jc w:val="both"/>
                        <w:rPr>
                          <w:rFonts w:ascii="Times New Roman" w:hAnsi="Times New Roman" w:cs="Times New Roman"/>
                          <w:sz w:val="24"/>
                          <w:szCs w:val="24"/>
                          <w:lang w:val="uk-UA"/>
                        </w:rPr>
                      </w:pPr>
                      <w:r w:rsidRPr="00077448">
                        <w:t>Мета к</w:t>
                      </w:r>
                      <w:r w:rsidRPr="00077448">
                        <w:rPr>
                          <w:rFonts w:ascii="Times New Roman" w:hAnsi="Times New Roman" w:cs="Times New Roman"/>
                          <w:sz w:val="24"/>
                          <w:szCs w:val="24"/>
                        </w:rPr>
                        <w:t xml:space="preserve">онцепції удосконалення механізму фінансування інноваційної діяльності </w:t>
                      </w:r>
                    </w:p>
                    <w:p w14:paraId="0C9A07A6" w14:textId="4869F765" w:rsidR="00077448" w:rsidRPr="00077448" w:rsidRDefault="00077448" w:rsidP="00077448">
                      <w:pPr>
                        <w:jc w:val="both"/>
                        <w:rPr>
                          <w:lang w:val="uk-UA"/>
                        </w:rPr>
                      </w:pPr>
                      <w:r>
                        <w:rPr>
                          <w:rFonts w:ascii="Times New Roman" w:hAnsi="Times New Roman" w:cs="Times New Roman"/>
                          <w:sz w:val="24"/>
                          <w:szCs w:val="24"/>
                          <w:lang w:val="uk-UA"/>
                        </w:rPr>
                        <w:t>Мета р</w:t>
                      </w:r>
                      <w:r w:rsidRPr="00077448">
                        <w:rPr>
                          <w:rFonts w:ascii="Times New Roman" w:hAnsi="Times New Roman" w:cs="Times New Roman"/>
                          <w:sz w:val="24"/>
                          <w:szCs w:val="24"/>
                          <w:lang w:val="uk-UA"/>
                        </w:rPr>
                        <w:t>олягає в створенні ефективної та диверсифікованої системи фінансування інноваційних проєктів шляхом інтеграції різних джерел ресурсів (внутрішніх, державних, приватних, міжнародних)</w:t>
                      </w:r>
                      <w:r>
                        <w:rPr>
                          <w:rFonts w:ascii="Times New Roman" w:hAnsi="Times New Roman" w:cs="Times New Roman"/>
                          <w:sz w:val="24"/>
                          <w:szCs w:val="24"/>
                          <w:lang w:val="uk-UA"/>
                        </w:rPr>
                        <w:t>.</w:t>
                      </w:r>
                    </w:p>
                    <w:p w14:paraId="1EDB9415" w14:textId="77777777" w:rsidR="00077448" w:rsidRPr="00077448" w:rsidRDefault="00077448" w:rsidP="00077448">
                      <w:pPr>
                        <w:jc w:val="center"/>
                        <w:rPr>
                          <w:lang w:val="uk-UA"/>
                        </w:rPr>
                      </w:pPr>
                    </w:p>
                  </w:txbxContent>
                </v:textbox>
              </v:rect>
            </w:pict>
          </mc:Fallback>
        </mc:AlternateContent>
      </w:r>
      <w:r w:rsidR="00524096">
        <w:rPr>
          <w:rFonts w:ascii="Times New Roman" w:hAnsi="Times New Roman" w:cs="Times New Roman"/>
          <w:bCs/>
          <w:noProof/>
          <w:sz w:val="28"/>
          <w:szCs w:val="28"/>
          <w:lang w:eastAsia="ru-RU"/>
        </w:rPr>
        <w:drawing>
          <wp:inline distT="0" distB="0" distL="0" distR="0" wp14:anchorId="36737D7F" wp14:editId="44C6070F">
            <wp:extent cx="8542020" cy="3810000"/>
            <wp:effectExtent l="0" t="0" r="1143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2258030" w14:textId="5DD3ADE9" w:rsidR="0095746B" w:rsidRDefault="00EB485A" w:rsidP="00077448">
      <w:pPr>
        <w:tabs>
          <w:tab w:val="left" w:pos="4044"/>
        </w:tabs>
        <w:spacing w:after="0" w:line="360" w:lineRule="auto"/>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mc:AlternateContent>
          <mc:Choice Requires="wps">
            <w:drawing>
              <wp:anchor distT="0" distB="0" distL="114300" distR="114300" simplePos="0" relativeHeight="251668480" behindDoc="0" locked="0" layoutInCell="1" allowOverlap="1" wp14:anchorId="1CC39F5C" wp14:editId="1A43E99B">
                <wp:simplePos x="0" y="0"/>
                <wp:positionH relativeFrom="column">
                  <wp:posOffset>7311390</wp:posOffset>
                </wp:positionH>
                <wp:positionV relativeFrom="paragraph">
                  <wp:posOffset>223520</wp:posOffset>
                </wp:positionV>
                <wp:extent cx="1546860" cy="746760"/>
                <wp:effectExtent l="0" t="0" r="15240" b="15240"/>
                <wp:wrapNone/>
                <wp:docPr id="1" name="Стрелка влево 1"/>
                <wp:cNvGraphicFramePr/>
                <a:graphic xmlns:a="http://schemas.openxmlformats.org/drawingml/2006/main">
                  <a:graphicData uri="http://schemas.microsoft.com/office/word/2010/wordprocessingShape">
                    <wps:wsp>
                      <wps:cNvSpPr/>
                      <wps:spPr>
                        <a:xfrm>
                          <a:off x="0" y="0"/>
                          <a:ext cx="1546860" cy="746760"/>
                        </a:xfrm>
                        <a:prstGeom prst="leftArrow">
                          <a:avLst/>
                        </a:prstGeom>
                      </wps:spPr>
                      <wps:style>
                        <a:lnRef idx="2">
                          <a:schemeClr val="dk1"/>
                        </a:lnRef>
                        <a:fillRef idx="1">
                          <a:schemeClr val="lt1"/>
                        </a:fillRef>
                        <a:effectRef idx="0">
                          <a:schemeClr val="dk1"/>
                        </a:effectRef>
                        <a:fontRef idx="minor">
                          <a:schemeClr val="dk1"/>
                        </a:fontRef>
                      </wps:style>
                      <wps:txbx>
                        <w:txbxContent>
                          <w:p w14:paraId="00811B55" w14:textId="5ECB6D0D" w:rsidR="00EB485A" w:rsidRPr="00EB485A" w:rsidRDefault="00EB485A" w:rsidP="00EB485A">
                            <w:pPr>
                              <w:jc w:val="center"/>
                              <w:rPr>
                                <w:lang w:val="uk-UA"/>
                              </w:rPr>
                            </w:pPr>
                            <w:r>
                              <w:rPr>
                                <w:lang w:val="uk-UA"/>
                              </w:rPr>
                              <w:t>Етапи реалізації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CC39F5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 o:spid="_x0000_s1034" type="#_x0000_t66" style="position:absolute;left:0;text-align:left;margin-left:575.7pt;margin-top:17.6pt;width:121.8pt;height:58.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" adj="5214" fillcolor="white [3201]" strokecolor="black [3200]" strokeweight="2pt">
                <v:textbox>
                  <w:txbxContent>
                    <w:p w14:paraId="00811B55" w14:textId="5ECB6D0D" w:rsidR="00EB485A" w:rsidRPr="00EB485A" w:rsidRDefault="00EB485A" w:rsidP="00EB485A">
                      <w:pPr>
                        <w:jc w:val="center"/>
                        <w:rPr>
                          <w:lang w:val="uk-UA"/>
                        </w:rPr>
                      </w:pPr>
                      <w:r>
                        <w:rPr>
                          <w:lang w:val="uk-UA"/>
                        </w:rPr>
                        <w:t>Етапи реалізації</w:t>
                      </w:r>
                    </w:p>
                  </w:txbxContent>
                </v:textbox>
              </v:shape>
            </w:pict>
          </mc:Fallback>
        </mc:AlternateContent>
      </w:r>
      <w:r w:rsidR="00077448">
        <w:rPr>
          <w:rFonts w:ascii="Times New Roman" w:hAnsi="Times New Roman" w:cs="Times New Roman"/>
          <w:bCs/>
          <w:noProof/>
          <w:sz w:val="28"/>
          <w:szCs w:val="28"/>
          <w:lang w:eastAsia="ru-RU"/>
        </w:rPr>
        <mc:AlternateContent>
          <mc:Choice Requires="wps">
            <w:drawing>
              <wp:anchor distT="0" distB="0" distL="114300" distR="114300" simplePos="0" relativeHeight="251664384" behindDoc="0" locked="0" layoutInCell="1" allowOverlap="1" wp14:anchorId="2F8CBF88" wp14:editId="79F46063">
                <wp:simplePos x="0" y="0"/>
                <wp:positionH relativeFrom="column">
                  <wp:posOffset>2876550</wp:posOffset>
                </wp:positionH>
                <wp:positionV relativeFrom="paragraph">
                  <wp:posOffset>2540</wp:posOffset>
                </wp:positionV>
                <wp:extent cx="1653540" cy="1165860"/>
                <wp:effectExtent l="0" t="0" r="22860" b="15240"/>
                <wp:wrapNone/>
                <wp:docPr id="17" name="Прямоугольник 17"/>
                <wp:cNvGraphicFramePr/>
                <a:graphic xmlns:a="http://schemas.openxmlformats.org/drawingml/2006/main">
                  <a:graphicData uri="http://schemas.microsoft.com/office/word/2010/wordprocessingShape">
                    <wps:wsp>
                      <wps:cNvSpPr/>
                      <wps:spPr>
                        <a:xfrm>
                          <a:off x="0" y="0"/>
                          <a:ext cx="1653540" cy="1165860"/>
                        </a:xfrm>
                        <a:prstGeom prst="rect">
                          <a:avLst/>
                        </a:prstGeom>
                      </wps:spPr>
                      <wps:style>
                        <a:lnRef idx="2">
                          <a:schemeClr val="dk1"/>
                        </a:lnRef>
                        <a:fillRef idx="1">
                          <a:schemeClr val="lt1"/>
                        </a:fillRef>
                        <a:effectRef idx="0">
                          <a:schemeClr val="dk1"/>
                        </a:effectRef>
                        <a:fontRef idx="minor">
                          <a:schemeClr val="dk1"/>
                        </a:fontRef>
                      </wps:style>
                      <wps:txbx>
                        <w:txbxContent>
                          <w:p w14:paraId="541B5A3D" w14:textId="3A6F20EA"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 xml:space="preserve">Недостатній прибуток (Інноваційний фонд підприємства). </w:t>
                            </w:r>
                          </w:p>
                          <w:p w14:paraId="3861AA9B" w14:textId="7552FEC6"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 xml:space="preserve">Бюрократичні перешкоди (Державно-приватне партнерство). </w:t>
                            </w:r>
                          </w:p>
                          <w:p w14:paraId="6501A97B" w14:textId="0B3BFE09" w:rsidR="00077448" w:rsidRPr="00A03D86" w:rsidRDefault="00077448" w:rsidP="00077448">
                            <w:pPr>
                              <w:spacing w:after="0" w:line="240" w:lineRule="auto"/>
                              <w:jc w:val="both"/>
                              <w:rPr>
                                <w:rFonts w:ascii="Times New Roman" w:hAnsi="Times New Roman" w:cs="Times New Roman"/>
                                <w:sz w:val="24"/>
                                <w:szCs w:val="24"/>
                                <w:lang w:val="uk-UA"/>
                              </w:rPr>
                            </w:pPr>
                            <w:r w:rsidRPr="00A03D86">
                              <w:rPr>
                                <w:rFonts w:ascii="Times New Roman" w:hAnsi="Times New Roman" w:cs="Times New Roman"/>
                                <w:sz w:val="24"/>
                                <w:szCs w:val="24"/>
                              </w:rPr>
                              <w:t>Високі ризики для інвесторів (Венчурний капітал).</w:t>
                            </w:r>
                          </w:p>
                          <w:p w14:paraId="20E32395" w14:textId="43DCDDF6" w:rsidR="00077448" w:rsidRPr="00A03D86" w:rsidRDefault="00077448" w:rsidP="00077448">
                            <w:pPr>
                              <w:spacing w:after="0" w:line="240" w:lineRule="auto"/>
                              <w:jc w:val="both"/>
                              <w:rPr>
                                <w:rFonts w:ascii="Times New Roman" w:hAnsi="Times New Roman" w:cs="Times New Roman"/>
                                <w:sz w:val="24"/>
                                <w:szCs w:val="24"/>
                                <w:lang w:val="uk-UA"/>
                              </w:rPr>
                            </w:pPr>
                            <w:r w:rsidRPr="00A03D86">
                              <w:rPr>
                                <w:rFonts w:ascii="Times New Roman" w:hAnsi="Times New Roman" w:cs="Times New Roman"/>
                                <w:sz w:val="24"/>
                                <w:szCs w:val="24"/>
                              </w:rPr>
                              <w:t xml:space="preserve">Низька довіра до платформ (Краудфандинг). </w:t>
                            </w:r>
                          </w:p>
                          <w:p w14:paraId="0381AA4B" w14:textId="44D8C9D8"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Бюрократичні бар’єри (Міжнародна кооперація).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BF88" id="Прямоугольник 17" o:spid="_x0000_s1035" style="position:absolute;left:0;text-align:left;margin-left:226.5pt;margin-top:.2pt;width:130.2pt;height:9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" fillcolor="white [3201]" strokecolor="black [3200]" strokeweight="2pt">
                <v:textbox>
                  <w:txbxContent>
                    <w:p w14:paraId="541B5A3D" w14:textId="3A6F20EA"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 xml:space="preserve">Недостатній прибуток (Інноваційний фонд підприємства). </w:t>
                      </w:r>
                    </w:p>
                    <w:p w14:paraId="3861AA9B" w14:textId="7552FEC6"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 xml:space="preserve">Бюрократичні перешкоди (Державно-приватне партнерство). </w:t>
                      </w:r>
                    </w:p>
                    <w:p w14:paraId="6501A97B" w14:textId="0B3BFE09" w:rsidR="00077448" w:rsidRPr="00A03D86" w:rsidRDefault="00077448" w:rsidP="00077448">
                      <w:pPr>
                        <w:spacing w:after="0" w:line="240" w:lineRule="auto"/>
                        <w:jc w:val="both"/>
                        <w:rPr>
                          <w:rFonts w:ascii="Times New Roman" w:hAnsi="Times New Roman" w:cs="Times New Roman"/>
                          <w:sz w:val="24"/>
                          <w:szCs w:val="24"/>
                          <w:lang w:val="uk-UA"/>
                        </w:rPr>
                      </w:pPr>
                      <w:r w:rsidRPr="00A03D86">
                        <w:rPr>
                          <w:rFonts w:ascii="Times New Roman" w:hAnsi="Times New Roman" w:cs="Times New Roman"/>
                          <w:sz w:val="24"/>
                          <w:szCs w:val="24"/>
                        </w:rPr>
                        <w:t>Високі ризики для інвесторів (Венчурний капітал).</w:t>
                      </w:r>
                    </w:p>
                    <w:p w14:paraId="20E32395" w14:textId="43DCDDF6" w:rsidR="00077448" w:rsidRPr="00A03D86" w:rsidRDefault="00077448" w:rsidP="00077448">
                      <w:pPr>
                        <w:spacing w:after="0" w:line="240" w:lineRule="auto"/>
                        <w:jc w:val="both"/>
                        <w:rPr>
                          <w:rFonts w:ascii="Times New Roman" w:hAnsi="Times New Roman" w:cs="Times New Roman"/>
                          <w:sz w:val="24"/>
                          <w:szCs w:val="24"/>
                          <w:lang w:val="uk-UA"/>
                        </w:rPr>
                      </w:pPr>
                      <w:r w:rsidRPr="00A03D86">
                        <w:rPr>
                          <w:rFonts w:ascii="Times New Roman" w:hAnsi="Times New Roman" w:cs="Times New Roman"/>
                          <w:sz w:val="24"/>
                          <w:szCs w:val="24"/>
                        </w:rPr>
                        <w:t xml:space="preserve">Низька довіра до платформ (Краудфандинг). </w:t>
                      </w:r>
                    </w:p>
                    <w:p w14:paraId="0381AA4B" w14:textId="44D8C9D8" w:rsidR="00077448" w:rsidRPr="00A03D86" w:rsidRDefault="00077448" w:rsidP="00077448">
                      <w:pPr>
                        <w:spacing w:after="0" w:line="240" w:lineRule="auto"/>
                        <w:jc w:val="both"/>
                        <w:rPr>
                          <w:rFonts w:ascii="Times New Roman" w:hAnsi="Times New Roman" w:cs="Times New Roman"/>
                          <w:sz w:val="24"/>
                          <w:szCs w:val="24"/>
                        </w:rPr>
                      </w:pPr>
                      <w:r w:rsidRPr="00A03D86">
                        <w:rPr>
                          <w:rFonts w:ascii="Times New Roman" w:hAnsi="Times New Roman" w:cs="Times New Roman"/>
                          <w:sz w:val="24"/>
                          <w:szCs w:val="24"/>
                        </w:rPr>
                        <w:t>Бюрократичні бар’єри (Міжнародна кооперація).</w:t>
                      </w:r>
                    </w:p>
                  </w:txbxContent>
                </v:textbox>
              </v:rect>
            </w:pict>
          </mc:Fallback>
        </mc:AlternateContent>
      </w:r>
    </w:p>
    <w:p w14:paraId="73B35D32" w14:textId="77777777" w:rsidR="0095746B" w:rsidRDefault="0095746B" w:rsidP="00273A34">
      <w:pPr>
        <w:tabs>
          <w:tab w:val="left" w:pos="4044"/>
        </w:tabs>
        <w:spacing w:after="0" w:line="360" w:lineRule="auto"/>
        <w:ind w:firstLine="709"/>
        <w:jc w:val="both"/>
        <w:rPr>
          <w:rFonts w:ascii="Times New Roman" w:hAnsi="Times New Roman" w:cs="Times New Roman"/>
          <w:bCs/>
          <w:sz w:val="28"/>
          <w:szCs w:val="28"/>
          <w:lang w:val="uk-UA"/>
        </w:rPr>
      </w:pPr>
    </w:p>
    <w:p w14:paraId="4DE1805E" w14:textId="77777777" w:rsidR="0095746B" w:rsidRDefault="0095746B" w:rsidP="00077448">
      <w:pPr>
        <w:tabs>
          <w:tab w:val="left" w:pos="4044"/>
        </w:tabs>
        <w:spacing w:after="0" w:line="360" w:lineRule="auto"/>
        <w:jc w:val="both"/>
        <w:rPr>
          <w:rFonts w:ascii="Times New Roman" w:hAnsi="Times New Roman" w:cs="Times New Roman"/>
          <w:bCs/>
          <w:sz w:val="28"/>
          <w:szCs w:val="28"/>
          <w:lang w:val="uk-UA"/>
        </w:rPr>
      </w:pPr>
    </w:p>
    <w:p w14:paraId="4B188244" w14:textId="1AC07556" w:rsidR="00077448" w:rsidRDefault="00077448" w:rsidP="00077448">
      <w:pPr>
        <w:tabs>
          <w:tab w:val="left" w:pos="4044"/>
        </w:tabs>
        <w:spacing w:after="0" w:line="360" w:lineRule="auto"/>
        <w:jc w:val="both"/>
        <w:rPr>
          <w:rFonts w:ascii="Times New Roman" w:hAnsi="Times New Roman" w:cs="Times New Roman"/>
          <w:bCs/>
          <w:sz w:val="28"/>
          <w:szCs w:val="28"/>
          <w:lang w:val="uk-UA"/>
        </w:rPr>
      </w:pPr>
    </w:p>
    <w:p w14:paraId="17963AC4" w14:textId="77CDEB18" w:rsidR="00524096" w:rsidRPr="00077448" w:rsidRDefault="00077448" w:rsidP="00077448">
      <w:pPr>
        <w:tabs>
          <w:tab w:val="left" w:pos="6336"/>
        </w:tabs>
        <w:ind w:left="720"/>
        <w:jc w:val="center"/>
        <w:rPr>
          <w:rFonts w:ascii="Times New Roman" w:hAnsi="Times New Roman" w:cs="Times New Roman"/>
          <w:sz w:val="28"/>
          <w:szCs w:val="28"/>
          <w:lang w:val="uk-UA"/>
        </w:rPr>
        <w:sectPr w:rsidR="00524096" w:rsidRPr="00077448" w:rsidSect="00A03D86">
          <w:pgSz w:w="16838" w:h="11906" w:orient="landscape"/>
          <w:pgMar w:top="1701" w:right="1134" w:bottom="851" w:left="1134" w:header="709" w:footer="709" w:gutter="0"/>
          <w:pgNumType w:start="24"/>
          <w:cols w:space="708"/>
          <w:titlePg/>
          <w:docGrid w:linePitch="360"/>
        </w:sectPr>
      </w:pPr>
      <w:r>
        <w:rPr>
          <w:rFonts w:ascii="Times New Roman" w:hAnsi="Times New Roman" w:cs="Times New Roman"/>
          <w:sz w:val="28"/>
          <w:szCs w:val="28"/>
          <w:lang w:val="uk-UA"/>
        </w:rPr>
        <w:t xml:space="preserve">Рисунок 3.1 - </w:t>
      </w:r>
      <w:r w:rsidR="00F24710" w:rsidRPr="00077448">
        <w:rPr>
          <w:rFonts w:ascii="Times New Roman" w:hAnsi="Times New Roman" w:cs="Times New Roman"/>
          <w:sz w:val="28"/>
          <w:szCs w:val="28"/>
          <w:lang w:val="uk-UA"/>
        </w:rPr>
        <w:t>Концепція удосконалення механізму фінансування інноваційної діяльності підприємства</w:t>
      </w:r>
    </w:p>
    <w:p w14:paraId="34807E64" w14:textId="77777777" w:rsidR="0095746B" w:rsidRDefault="0095746B" w:rsidP="00077448">
      <w:pPr>
        <w:tabs>
          <w:tab w:val="left" w:pos="4044"/>
        </w:tabs>
        <w:spacing w:after="0" w:line="360" w:lineRule="auto"/>
        <w:jc w:val="both"/>
        <w:rPr>
          <w:rFonts w:ascii="Times New Roman" w:hAnsi="Times New Roman" w:cs="Times New Roman"/>
          <w:bCs/>
          <w:sz w:val="28"/>
          <w:szCs w:val="28"/>
          <w:lang w:val="uk-UA"/>
        </w:rPr>
      </w:pPr>
    </w:p>
    <w:p w14:paraId="09C22560" w14:textId="77777777" w:rsidR="00273A34" w:rsidRPr="00273A34" w:rsidRDefault="00143059" w:rsidP="00273A34">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Наприклад, </w:t>
      </w:r>
      <w:r w:rsidR="00273A34" w:rsidRPr="00273A34">
        <w:rPr>
          <w:rFonts w:ascii="Times New Roman" w:hAnsi="Times New Roman" w:cs="Times New Roman"/>
          <w:sz w:val="28"/>
          <w:szCs w:val="28"/>
        </w:rPr>
        <w:t>впровадження енергоефективного обладнання на промисловому підприємстві з бюджетом 10 млн грн. Фінансування розподіляється так: 4 млн грн – державна субсидія, 3 млн грн – венчурний капітал, 3 млн грн – власні кошти. Очікуваний ефект: скорочення енергоспоживання на 15–20% і підвищення продуктивності на 10% [14, с. 310]. Інший приклад – ІТ-стартап, який залучає 0,5 млн грн через краудфандинг для розробки програмного забезпечення, що може генерувати до 2 млн грн доходу за рік [19].</w:t>
      </w:r>
    </w:p>
    <w:p w14:paraId="78209369" w14:textId="77777777" w:rsidR="00143059" w:rsidRDefault="00273A34" w:rsidP="00143059">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Реалізація концепції забезпечить:</w:t>
      </w:r>
    </w:p>
    <w:p w14:paraId="14C4248C" w14:textId="77777777" w:rsidR="00143059" w:rsidRDefault="00143059" w:rsidP="00143059">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bCs/>
          <w:sz w:val="28"/>
          <w:szCs w:val="28"/>
        </w:rPr>
        <w:t>Збільшення обсягу фінансування</w:t>
      </w:r>
      <w:r w:rsidR="00273A34" w:rsidRPr="00273A34">
        <w:rPr>
          <w:rFonts w:ascii="Times New Roman" w:hAnsi="Times New Roman" w:cs="Times New Roman"/>
          <w:sz w:val="28"/>
          <w:szCs w:val="28"/>
        </w:rPr>
        <w:t xml:space="preserve"> на 25–30% за 3 роки (з 9 117,5 млн грн у 2024 році до 11 400–11 900 млн грн до 2027 року) [1].</w:t>
      </w:r>
    </w:p>
    <w:p w14:paraId="43BADD02" w14:textId="77777777" w:rsidR="00143059" w:rsidRDefault="00143059" w:rsidP="00143059">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bCs/>
          <w:sz w:val="28"/>
          <w:szCs w:val="28"/>
        </w:rPr>
        <w:t>Зростання частки іноземних коштів</w:t>
      </w:r>
      <w:r w:rsidR="00273A34" w:rsidRPr="00273A34">
        <w:rPr>
          <w:rFonts w:ascii="Times New Roman" w:hAnsi="Times New Roman" w:cs="Times New Roman"/>
          <w:sz w:val="28"/>
          <w:szCs w:val="28"/>
        </w:rPr>
        <w:t xml:space="preserve"> до 10–12% (з 1,2% у 2024 році), що додасть 900–1 100 млн грн щорічно [5, с. 107].</w:t>
      </w:r>
    </w:p>
    <w:p w14:paraId="72BD80DF" w14:textId="77777777" w:rsidR="00143059" w:rsidRDefault="00143059" w:rsidP="00143059">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bCs/>
          <w:sz w:val="28"/>
          <w:szCs w:val="28"/>
        </w:rPr>
        <w:t>Підвищення продуктивності інноваційних проєктів</w:t>
      </w:r>
      <w:r w:rsidR="00273A34" w:rsidRPr="00273A34">
        <w:rPr>
          <w:rFonts w:ascii="Times New Roman" w:hAnsi="Times New Roman" w:cs="Times New Roman"/>
          <w:sz w:val="28"/>
          <w:szCs w:val="28"/>
        </w:rPr>
        <w:t xml:space="preserve"> на 15–20% завдяки ефективному розподілу ресурсів [19, с. 64].</w:t>
      </w:r>
    </w:p>
    <w:p w14:paraId="6B05E179" w14:textId="77777777" w:rsidR="00273A34" w:rsidRPr="00273A34" w:rsidRDefault="00143059" w:rsidP="00143059">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273A34" w:rsidRPr="00273A34">
        <w:rPr>
          <w:rFonts w:ascii="Times New Roman" w:hAnsi="Times New Roman" w:cs="Times New Roman"/>
          <w:bCs/>
          <w:sz w:val="28"/>
          <w:szCs w:val="28"/>
        </w:rPr>
        <w:t>Скорочення залежності від власних коштів</w:t>
      </w:r>
      <w:r w:rsidR="00273A34" w:rsidRPr="00273A34">
        <w:rPr>
          <w:rFonts w:ascii="Times New Roman" w:hAnsi="Times New Roman" w:cs="Times New Roman"/>
          <w:sz w:val="28"/>
          <w:szCs w:val="28"/>
        </w:rPr>
        <w:t xml:space="preserve"> до 60–65%, що дозволить малим підприємствам активніше інвестувати в інновації [11, с. 57].</w:t>
      </w:r>
    </w:p>
    <w:p w14:paraId="5BA7BF8A" w14:textId="77777777" w:rsidR="00143059" w:rsidRDefault="00273A34" w:rsidP="00143059">
      <w:pPr>
        <w:tabs>
          <w:tab w:val="left" w:pos="4044"/>
        </w:tabs>
        <w:spacing w:after="0" w:line="360" w:lineRule="auto"/>
        <w:ind w:firstLine="709"/>
        <w:jc w:val="both"/>
        <w:rPr>
          <w:rFonts w:ascii="Times New Roman" w:hAnsi="Times New Roman" w:cs="Times New Roman"/>
          <w:sz w:val="28"/>
          <w:szCs w:val="28"/>
          <w:lang w:val="uk-UA"/>
        </w:rPr>
      </w:pPr>
      <w:r w:rsidRPr="00273A34">
        <w:rPr>
          <w:rFonts w:ascii="Times New Roman" w:hAnsi="Times New Roman" w:cs="Times New Roman"/>
          <w:sz w:val="28"/>
          <w:szCs w:val="28"/>
        </w:rPr>
        <w:t>Основні ризики та заходи їх мінімізації:</w:t>
      </w:r>
    </w:p>
    <w:p w14:paraId="4D6BF037" w14:textId="77777777" w:rsidR="00143059" w:rsidRDefault="00143059" w:rsidP="00143059">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sz w:val="28"/>
          <w:szCs w:val="28"/>
        </w:rPr>
        <w:t>Створення державних резервних фондів для підтримки інноваційних проєктів у кризові періоди [30, с. 17].</w:t>
      </w:r>
    </w:p>
    <w:p w14:paraId="40EB5B14" w14:textId="77777777" w:rsidR="00143059" w:rsidRDefault="00143059" w:rsidP="00143059">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3A34" w:rsidRPr="00273A34">
        <w:rPr>
          <w:rFonts w:ascii="Times New Roman" w:hAnsi="Times New Roman" w:cs="Times New Roman"/>
          <w:sz w:val="28"/>
          <w:szCs w:val="28"/>
        </w:rPr>
        <w:t>Впровадження цифрових платформ для спрощення процедур подання заявок і звітності [12, с. 1].</w:t>
      </w:r>
    </w:p>
    <w:p w14:paraId="2011D3BA" w14:textId="77777777" w:rsidR="00273A34" w:rsidRPr="00273A34" w:rsidRDefault="00143059" w:rsidP="00143059">
      <w:pPr>
        <w:tabs>
          <w:tab w:val="left" w:pos="404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273A34" w:rsidRPr="00273A34">
        <w:rPr>
          <w:rFonts w:ascii="Times New Roman" w:hAnsi="Times New Roman" w:cs="Times New Roman"/>
          <w:sz w:val="28"/>
          <w:szCs w:val="28"/>
        </w:rPr>
        <w:t>Проведення тренінгів за підтримки міжнародних партнерів, таких як ЄБРР, для підвищення компетенцій у управлінні інноваціями [7, с. 2].</w:t>
      </w:r>
    </w:p>
    <w:p w14:paraId="66F448A8" w14:textId="77777777" w:rsidR="00273A34" w:rsidRPr="00273A34" w:rsidRDefault="00273A34" w:rsidP="00273A34">
      <w:pPr>
        <w:tabs>
          <w:tab w:val="left" w:pos="4044"/>
        </w:tabs>
        <w:spacing w:after="0" w:line="360" w:lineRule="auto"/>
        <w:ind w:firstLine="709"/>
        <w:jc w:val="both"/>
        <w:rPr>
          <w:rFonts w:ascii="Times New Roman" w:hAnsi="Times New Roman" w:cs="Times New Roman"/>
          <w:sz w:val="28"/>
          <w:szCs w:val="28"/>
        </w:rPr>
      </w:pPr>
      <w:r w:rsidRPr="00273A34">
        <w:rPr>
          <w:rFonts w:ascii="Times New Roman" w:hAnsi="Times New Roman" w:cs="Times New Roman"/>
          <w:sz w:val="28"/>
          <w:szCs w:val="28"/>
        </w:rPr>
        <w:t>Інвестування 100 млн грн у реалізацію концепції протягом 5 років може забезпечити приріст ВВП на 0,5–1% завдяки зростанню інноваційної активності [5, с. 108]. Рентабельність інноваційних проєктів може досягти 15–20% на рік, як показують приклади в ІТ-секторі [19, с. 64]. Наприклад, пілотний проєкт із бюджетом 10 млн грн може генерувати додатковий прибуток у 1,5–2 млн грн щорічно.</w:t>
      </w:r>
    </w:p>
    <w:p w14:paraId="449436D0" w14:textId="77777777" w:rsidR="00143059" w:rsidRDefault="00143059" w:rsidP="00273A34">
      <w:pPr>
        <w:tabs>
          <w:tab w:val="left" w:pos="40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Отже, </w:t>
      </w:r>
      <w:r>
        <w:rPr>
          <w:rFonts w:ascii="Times New Roman" w:hAnsi="Times New Roman" w:cs="Times New Roman"/>
          <w:sz w:val="28"/>
          <w:szCs w:val="28"/>
          <w:lang w:val="uk-UA"/>
        </w:rPr>
        <w:t>з</w:t>
      </w:r>
      <w:r w:rsidR="00273A34" w:rsidRPr="00273A34">
        <w:rPr>
          <w:rFonts w:ascii="Times New Roman" w:hAnsi="Times New Roman" w:cs="Times New Roman"/>
          <w:sz w:val="28"/>
          <w:szCs w:val="28"/>
        </w:rPr>
        <w:t>апропонована концепція удосконалення механізму фінансування інноваційної діяльності поєднує внутрішні та зовнішні ресурси, базуючись на принципах диверсифікації, прозорості, стимулювання та глобальної інтеграції.</w:t>
      </w:r>
    </w:p>
    <w:p w14:paraId="0507A4FB" w14:textId="77777777" w:rsidR="00143059"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 xml:space="preserve"> Модель включає створення інноваційних фондів, ДПП, венчурний капітал, краудфандинг і міжнародну кооперацію, що дозволить знизити залежність від власних коштів і збільшити обсяг фінансування на 25–30% за 3 роки. </w:t>
      </w:r>
    </w:p>
    <w:p w14:paraId="1150D561" w14:textId="77777777" w:rsidR="00273A34" w:rsidRPr="00143059" w:rsidRDefault="00273A34" w:rsidP="00273A34">
      <w:pPr>
        <w:tabs>
          <w:tab w:val="left" w:pos="4044"/>
        </w:tabs>
        <w:spacing w:after="0" w:line="360" w:lineRule="auto"/>
        <w:ind w:firstLine="709"/>
        <w:jc w:val="both"/>
        <w:rPr>
          <w:rFonts w:ascii="Times New Roman" w:hAnsi="Times New Roman" w:cs="Times New Roman"/>
          <w:sz w:val="28"/>
          <w:szCs w:val="28"/>
          <w:lang w:val="uk-UA"/>
        </w:rPr>
      </w:pPr>
      <w:r w:rsidRPr="00143059">
        <w:rPr>
          <w:rFonts w:ascii="Times New Roman" w:hAnsi="Times New Roman" w:cs="Times New Roman"/>
          <w:sz w:val="28"/>
          <w:szCs w:val="28"/>
          <w:lang w:val="uk-UA"/>
        </w:rPr>
        <w:t>Реалізація концепції потребує координації між державою, бізнесом і міжнародними партнерами, що сприятиме модернізації української економіки та підвищенню її конкурентоспроможності.</w:t>
      </w:r>
    </w:p>
    <w:p w14:paraId="65169372" w14:textId="77777777" w:rsidR="001A528C" w:rsidRPr="00143059" w:rsidRDefault="001A528C" w:rsidP="001A528C">
      <w:pPr>
        <w:tabs>
          <w:tab w:val="left" w:pos="4044"/>
        </w:tabs>
        <w:jc w:val="center"/>
        <w:rPr>
          <w:rFonts w:ascii="Times New Roman" w:hAnsi="Times New Roman" w:cs="Times New Roman"/>
          <w:b/>
          <w:sz w:val="28"/>
          <w:szCs w:val="28"/>
          <w:lang w:val="uk-UA"/>
        </w:rPr>
      </w:pPr>
    </w:p>
    <w:p w14:paraId="2E2378DF" w14:textId="77777777" w:rsidR="00273A34" w:rsidRDefault="00273A34" w:rsidP="00C02D23">
      <w:pPr>
        <w:tabs>
          <w:tab w:val="left" w:pos="4044"/>
        </w:tabs>
        <w:jc w:val="center"/>
        <w:rPr>
          <w:rFonts w:ascii="Times New Roman" w:hAnsi="Times New Roman" w:cs="Times New Roman"/>
          <w:b/>
          <w:sz w:val="28"/>
          <w:szCs w:val="28"/>
          <w:lang w:val="uk-UA"/>
        </w:rPr>
      </w:pPr>
    </w:p>
    <w:p w14:paraId="21E0D18A" w14:textId="77777777" w:rsidR="00273A34" w:rsidRDefault="00273A34" w:rsidP="00C02D23">
      <w:pPr>
        <w:tabs>
          <w:tab w:val="left" w:pos="4044"/>
        </w:tabs>
        <w:jc w:val="center"/>
        <w:rPr>
          <w:rFonts w:ascii="Times New Roman" w:hAnsi="Times New Roman" w:cs="Times New Roman"/>
          <w:b/>
          <w:sz w:val="28"/>
          <w:szCs w:val="28"/>
          <w:lang w:val="uk-UA"/>
        </w:rPr>
      </w:pPr>
    </w:p>
    <w:p w14:paraId="48D35C65" w14:textId="77777777" w:rsidR="00273A34" w:rsidRDefault="00273A34" w:rsidP="00C02D23">
      <w:pPr>
        <w:tabs>
          <w:tab w:val="left" w:pos="4044"/>
        </w:tabs>
        <w:jc w:val="center"/>
        <w:rPr>
          <w:rFonts w:ascii="Times New Roman" w:hAnsi="Times New Roman" w:cs="Times New Roman"/>
          <w:b/>
          <w:sz w:val="28"/>
          <w:szCs w:val="28"/>
          <w:lang w:val="uk-UA"/>
        </w:rPr>
      </w:pPr>
    </w:p>
    <w:p w14:paraId="6F8C708C" w14:textId="77777777" w:rsidR="00273A34" w:rsidRDefault="00273A34" w:rsidP="00C02D23">
      <w:pPr>
        <w:tabs>
          <w:tab w:val="left" w:pos="4044"/>
        </w:tabs>
        <w:jc w:val="center"/>
        <w:rPr>
          <w:rFonts w:ascii="Times New Roman" w:hAnsi="Times New Roman" w:cs="Times New Roman"/>
          <w:b/>
          <w:sz w:val="28"/>
          <w:szCs w:val="28"/>
          <w:lang w:val="uk-UA"/>
        </w:rPr>
      </w:pPr>
    </w:p>
    <w:p w14:paraId="79C68D3D" w14:textId="77777777" w:rsidR="00273A34" w:rsidRDefault="00273A34" w:rsidP="00C02D23">
      <w:pPr>
        <w:tabs>
          <w:tab w:val="left" w:pos="4044"/>
        </w:tabs>
        <w:jc w:val="center"/>
        <w:rPr>
          <w:rFonts w:ascii="Times New Roman" w:hAnsi="Times New Roman" w:cs="Times New Roman"/>
          <w:b/>
          <w:sz w:val="28"/>
          <w:szCs w:val="28"/>
          <w:lang w:val="uk-UA"/>
        </w:rPr>
      </w:pPr>
    </w:p>
    <w:p w14:paraId="51254A08" w14:textId="77777777" w:rsidR="00273A34" w:rsidRDefault="00273A34" w:rsidP="00C02D23">
      <w:pPr>
        <w:tabs>
          <w:tab w:val="left" w:pos="4044"/>
        </w:tabs>
        <w:jc w:val="center"/>
        <w:rPr>
          <w:rFonts w:ascii="Times New Roman" w:hAnsi="Times New Roman" w:cs="Times New Roman"/>
          <w:b/>
          <w:sz w:val="28"/>
          <w:szCs w:val="28"/>
          <w:lang w:val="uk-UA"/>
        </w:rPr>
      </w:pPr>
    </w:p>
    <w:p w14:paraId="1E95EBE6" w14:textId="77777777" w:rsidR="00273A34" w:rsidRDefault="00273A34" w:rsidP="00C02D23">
      <w:pPr>
        <w:tabs>
          <w:tab w:val="left" w:pos="4044"/>
        </w:tabs>
        <w:jc w:val="center"/>
        <w:rPr>
          <w:rFonts w:ascii="Times New Roman" w:hAnsi="Times New Roman" w:cs="Times New Roman"/>
          <w:b/>
          <w:sz w:val="28"/>
          <w:szCs w:val="28"/>
          <w:lang w:val="uk-UA"/>
        </w:rPr>
      </w:pPr>
    </w:p>
    <w:p w14:paraId="7887ABF8" w14:textId="77777777" w:rsidR="00273A34" w:rsidRDefault="00273A34" w:rsidP="00C02D23">
      <w:pPr>
        <w:tabs>
          <w:tab w:val="left" w:pos="4044"/>
        </w:tabs>
        <w:jc w:val="center"/>
        <w:rPr>
          <w:rFonts w:ascii="Times New Roman" w:hAnsi="Times New Roman" w:cs="Times New Roman"/>
          <w:b/>
          <w:sz w:val="28"/>
          <w:szCs w:val="28"/>
          <w:lang w:val="uk-UA"/>
        </w:rPr>
      </w:pPr>
    </w:p>
    <w:p w14:paraId="07DD4BFF" w14:textId="77777777" w:rsidR="00273A34" w:rsidRDefault="00273A34" w:rsidP="00C02D23">
      <w:pPr>
        <w:tabs>
          <w:tab w:val="left" w:pos="4044"/>
        </w:tabs>
        <w:jc w:val="center"/>
        <w:rPr>
          <w:rFonts w:ascii="Times New Roman" w:hAnsi="Times New Roman" w:cs="Times New Roman"/>
          <w:b/>
          <w:sz w:val="28"/>
          <w:szCs w:val="28"/>
          <w:lang w:val="uk-UA"/>
        </w:rPr>
      </w:pPr>
    </w:p>
    <w:p w14:paraId="4FB935B3" w14:textId="77777777" w:rsidR="00273A34" w:rsidRDefault="00273A34" w:rsidP="00C02D23">
      <w:pPr>
        <w:tabs>
          <w:tab w:val="left" w:pos="4044"/>
        </w:tabs>
        <w:jc w:val="center"/>
        <w:rPr>
          <w:rFonts w:ascii="Times New Roman" w:hAnsi="Times New Roman" w:cs="Times New Roman"/>
          <w:b/>
          <w:sz w:val="28"/>
          <w:szCs w:val="28"/>
          <w:lang w:val="uk-UA"/>
        </w:rPr>
      </w:pPr>
    </w:p>
    <w:p w14:paraId="0F4DF97C" w14:textId="77777777" w:rsidR="00273A34" w:rsidRDefault="00273A34" w:rsidP="00C02D23">
      <w:pPr>
        <w:tabs>
          <w:tab w:val="left" w:pos="4044"/>
        </w:tabs>
        <w:jc w:val="center"/>
        <w:rPr>
          <w:rFonts w:ascii="Times New Roman" w:hAnsi="Times New Roman" w:cs="Times New Roman"/>
          <w:b/>
          <w:sz w:val="28"/>
          <w:szCs w:val="28"/>
          <w:lang w:val="uk-UA"/>
        </w:rPr>
      </w:pPr>
    </w:p>
    <w:p w14:paraId="3D68BB46" w14:textId="77777777" w:rsidR="00273A34" w:rsidRDefault="00273A34" w:rsidP="00C02D23">
      <w:pPr>
        <w:tabs>
          <w:tab w:val="left" w:pos="4044"/>
        </w:tabs>
        <w:jc w:val="center"/>
        <w:rPr>
          <w:rFonts w:ascii="Times New Roman" w:hAnsi="Times New Roman" w:cs="Times New Roman"/>
          <w:b/>
          <w:sz w:val="28"/>
          <w:szCs w:val="28"/>
          <w:lang w:val="uk-UA"/>
        </w:rPr>
      </w:pPr>
    </w:p>
    <w:p w14:paraId="4B2DC736" w14:textId="77777777" w:rsidR="00E242F7" w:rsidRDefault="00E242F7" w:rsidP="00A03D86">
      <w:pPr>
        <w:tabs>
          <w:tab w:val="left" w:pos="4044"/>
        </w:tabs>
        <w:rPr>
          <w:rFonts w:ascii="Times New Roman" w:hAnsi="Times New Roman" w:cs="Times New Roman"/>
          <w:b/>
          <w:sz w:val="28"/>
          <w:szCs w:val="28"/>
          <w:lang w:val="uk-UA"/>
        </w:rPr>
      </w:pPr>
    </w:p>
    <w:p w14:paraId="1B616152" w14:textId="7BE99609" w:rsidR="00143059" w:rsidRDefault="00143059" w:rsidP="00C02D23">
      <w:pPr>
        <w:tabs>
          <w:tab w:val="left" w:pos="4044"/>
        </w:tabs>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14:paraId="01DF41FD" w14:textId="77777777" w:rsidR="00EA00C9" w:rsidRDefault="00EA00C9" w:rsidP="00EA00C9">
      <w:pPr>
        <w:tabs>
          <w:tab w:val="left" w:pos="4044"/>
        </w:tabs>
        <w:spacing w:after="0" w:line="360" w:lineRule="auto"/>
        <w:ind w:firstLine="709"/>
        <w:jc w:val="both"/>
        <w:rPr>
          <w:rFonts w:ascii="Times New Roman" w:hAnsi="Times New Roman" w:cs="Times New Roman"/>
          <w:sz w:val="28"/>
          <w:szCs w:val="28"/>
          <w:lang w:val="uk-UA"/>
        </w:rPr>
      </w:pPr>
      <w:r w:rsidRPr="00EA00C9">
        <w:rPr>
          <w:rFonts w:ascii="Times New Roman" w:hAnsi="Times New Roman" w:cs="Times New Roman"/>
          <w:sz w:val="28"/>
          <w:szCs w:val="28"/>
          <w:lang w:val="uk-UA"/>
        </w:rPr>
        <w:t xml:space="preserve">У результаті проведеного дослідження виконано поставлені завдання та досягнуто мети – здійснено ґрунтовний теоретичний аналіз і розроблено концептуальні засади удосконалення механізму фінансування інноваційної діяльності підприємства в Україні. </w:t>
      </w:r>
      <w:r w:rsidRPr="00EA00C9">
        <w:rPr>
          <w:rFonts w:ascii="Times New Roman" w:hAnsi="Times New Roman" w:cs="Times New Roman"/>
          <w:sz w:val="28"/>
          <w:szCs w:val="28"/>
        </w:rPr>
        <w:t xml:space="preserve">Робота охопила ключові аспекти інноваційного розвитку, що дозволило сформувати комплексний підхід до вирішення актуальних проблем у цій сфері. </w:t>
      </w:r>
    </w:p>
    <w:p w14:paraId="6CF3270D" w14:textId="77777777" w:rsidR="00EA00C9" w:rsidRPr="00EA00C9" w:rsidRDefault="00EA00C9" w:rsidP="00EA00C9">
      <w:pPr>
        <w:tabs>
          <w:tab w:val="left" w:pos="4044"/>
        </w:tabs>
        <w:spacing w:after="0" w:line="360" w:lineRule="auto"/>
        <w:ind w:firstLine="709"/>
        <w:jc w:val="both"/>
        <w:rPr>
          <w:rFonts w:ascii="Times New Roman" w:hAnsi="Times New Roman" w:cs="Times New Roman"/>
          <w:sz w:val="28"/>
          <w:szCs w:val="28"/>
        </w:rPr>
      </w:pPr>
      <w:r w:rsidRPr="00EA00C9">
        <w:rPr>
          <w:rFonts w:ascii="Times New Roman" w:hAnsi="Times New Roman" w:cs="Times New Roman"/>
          <w:sz w:val="28"/>
          <w:szCs w:val="28"/>
          <w:lang w:val="uk-UA"/>
        </w:rPr>
        <w:t xml:space="preserve">У першому розділі визначено економічну сутність механізму фінансування інноваційної діяльності підприємства. Цей механізм представляє собою комплексну систему, що об’єднує різноманітні елементи: джерела фінансування (власні кошти, банківські кредити, державні гранти, венчурний капітал, іноземні інвестиції), інструменти залучення капіталу (податкові пільги, державно-приватне партнерство, краудфандинг), організаційні структури (інноваційні фонди, підрозділи управління проєктами) та нормативно-правову базу, яка регулює ці процеси. </w:t>
      </w:r>
      <w:r w:rsidRPr="00EA00C9">
        <w:rPr>
          <w:rFonts w:ascii="Times New Roman" w:hAnsi="Times New Roman" w:cs="Times New Roman"/>
          <w:sz w:val="28"/>
          <w:szCs w:val="28"/>
        </w:rPr>
        <w:t>Його основна роль полягає в забезпеченні підприємства необхідними фінансовими ресурсами для створення, впровадження та комерціалізації інновацій, що є передумовою підвищення конкурентоспроможності та сталого розвитку. У контексті України механізм характеризується значною залежністю від власних коштів, які у 2022–2024 роках складали 84,5–87,7% загальних витрат на інновації [5, с. 104]. Обмежене державне фінансування (зниження до 2,5% у 2024 році), низький рівень іноземних інвестицій (1,2% у 2024 році) та нерозвиненість альтернативних інструментів, таких як венчурний капітал і краудфандинг, створюють суттєві бар’єри для інноваційного розвитку, особливо для малих і середніх підприємств.</w:t>
      </w:r>
    </w:p>
    <w:p w14:paraId="472E1B01" w14:textId="77777777" w:rsidR="00EA00C9" w:rsidRDefault="00EA00C9" w:rsidP="00EA00C9">
      <w:pPr>
        <w:tabs>
          <w:tab w:val="left" w:pos="4044"/>
        </w:tabs>
        <w:spacing w:after="0" w:line="360" w:lineRule="auto"/>
        <w:ind w:firstLine="709"/>
        <w:jc w:val="both"/>
        <w:rPr>
          <w:rFonts w:ascii="Times New Roman" w:hAnsi="Times New Roman" w:cs="Times New Roman"/>
          <w:sz w:val="28"/>
          <w:szCs w:val="28"/>
          <w:lang w:val="uk-UA"/>
        </w:rPr>
      </w:pPr>
      <w:r w:rsidRPr="00EA00C9">
        <w:rPr>
          <w:rFonts w:ascii="Times New Roman" w:hAnsi="Times New Roman" w:cs="Times New Roman"/>
          <w:sz w:val="28"/>
          <w:szCs w:val="28"/>
        </w:rPr>
        <w:t>У другому розділі проведено детальну оцінку джерел фінансування інноваційної діяльності в Україні на основі статистичних даних та наукових досліджень. Власні кошти залишаються домінуючим джерелом, займаючи 84,5–88,2% від загального обсягу витрат у 2022–2024 роках, що свідчить про високу фінансову автономію підприємств, але водночас про обмежений доступ до зовнішнього капіталу. Державне фінансування, яке у 2022 році становило 556,5 млн грн (3,9%), зросло до 639,1 млн грн (5,2%) у 2023 році, але різко скоротилося до 227,3 млн грн (2,5%) у 2024 році, що пов’язано з переорієнтацією бюджетни</w:t>
      </w:r>
      <w:r>
        <w:rPr>
          <w:rFonts w:ascii="Times New Roman" w:hAnsi="Times New Roman" w:cs="Times New Roman"/>
          <w:sz w:val="28"/>
          <w:szCs w:val="28"/>
        </w:rPr>
        <w:t>х ресурсів на оборонні потреби</w:t>
      </w:r>
      <w:r>
        <w:rPr>
          <w:rFonts w:ascii="Times New Roman" w:hAnsi="Times New Roman" w:cs="Times New Roman"/>
          <w:sz w:val="28"/>
          <w:szCs w:val="28"/>
          <w:lang w:val="uk-UA"/>
        </w:rPr>
        <w:t>.</w:t>
      </w:r>
    </w:p>
    <w:p w14:paraId="4ECEDAE4" w14:textId="77777777" w:rsidR="00EA00C9" w:rsidRPr="00EA00C9" w:rsidRDefault="00EA00C9" w:rsidP="00EA00C9">
      <w:pPr>
        <w:tabs>
          <w:tab w:val="left" w:pos="4044"/>
        </w:tabs>
        <w:spacing w:after="0" w:line="360" w:lineRule="auto"/>
        <w:ind w:firstLine="709"/>
        <w:jc w:val="both"/>
        <w:rPr>
          <w:rFonts w:ascii="Times New Roman" w:hAnsi="Times New Roman" w:cs="Times New Roman"/>
          <w:sz w:val="28"/>
          <w:szCs w:val="28"/>
          <w:lang w:val="uk-UA"/>
        </w:rPr>
      </w:pPr>
      <w:r w:rsidRPr="00EA00C9">
        <w:rPr>
          <w:rFonts w:ascii="Times New Roman" w:hAnsi="Times New Roman" w:cs="Times New Roman"/>
          <w:sz w:val="28"/>
          <w:szCs w:val="28"/>
          <w:lang w:val="uk-UA"/>
        </w:rPr>
        <w:t>Іноземні інвестиції залишаються мінімальними, з часткою 0,3–1,2%, а частка інших джерел (гранти, кредити міжнародних організацій, краудфандинг) зросла з 8,1% у 2022 році до 11,8% у 2024 році, хоча їхній обсяг все ще н</w:t>
      </w:r>
      <w:r>
        <w:rPr>
          <w:rFonts w:ascii="Times New Roman" w:hAnsi="Times New Roman" w:cs="Times New Roman"/>
          <w:sz w:val="28"/>
          <w:szCs w:val="28"/>
          <w:lang w:val="uk-UA"/>
        </w:rPr>
        <w:t>едостатній для значного впливу</w:t>
      </w:r>
      <w:r w:rsidRPr="00EA00C9">
        <w:rPr>
          <w:rFonts w:ascii="Times New Roman" w:hAnsi="Times New Roman" w:cs="Times New Roman"/>
          <w:sz w:val="28"/>
          <w:szCs w:val="28"/>
          <w:lang w:val="uk-UA"/>
        </w:rPr>
        <w:t>. Загальні витрати на інновації скоротилися на 35,9% – з 14 220,9 млн грн у 2022 році до 9 117,5 млн грн у 2024 році, що відображає економічні виклики, зокрема воєнний стан і падіння прибутків підприємств. Секторальний аналіз показав, що промисловість (60–65%) та інформаційні технології (20–22%) отримують основну частку фінансування, тоді як сільське господарство (9–10%) та інші сектори (до 9%) залишаються недостатньо профінансованими. Глобальний індекс інновацій (</w:t>
      </w:r>
      <w:r w:rsidRPr="00EA00C9">
        <w:rPr>
          <w:rFonts w:ascii="Times New Roman" w:hAnsi="Times New Roman" w:cs="Times New Roman"/>
          <w:sz w:val="28"/>
          <w:szCs w:val="28"/>
        </w:rPr>
        <w:t>GII</w:t>
      </w:r>
      <w:r w:rsidRPr="00EA00C9">
        <w:rPr>
          <w:rFonts w:ascii="Times New Roman" w:hAnsi="Times New Roman" w:cs="Times New Roman"/>
          <w:sz w:val="28"/>
          <w:szCs w:val="28"/>
          <w:lang w:val="uk-UA"/>
        </w:rPr>
        <w:t>) відображає позитивну динаміку: позиція України зросла з 45-го місця у 2020 році до 54-го у 2024 році, інноваційні внески зросли з 57% до 78%, а результати – з 37% до 54%, що вказує на покращення умов для інновацій, але недостатню їх ефективність.</w:t>
      </w:r>
    </w:p>
    <w:p w14:paraId="70B03B63" w14:textId="77777777" w:rsidR="00EA00C9" w:rsidRDefault="00EA00C9" w:rsidP="00EA00C9">
      <w:pPr>
        <w:tabs>
          <w:tab w:val="left" w:pos="4044"/>
        </w:tabs>
        <w:spacing w:after="0" w:line="360" w:lineRule="auto"/>
        <w:ind w:firstLine="709"/>
        <w:jc w:val="both"/>
        <w:rPr>
          <w:rFonts w:ascii="Times New Roman" w:hAnsi="Times New Roman" w:cs="Times New Roman"/>
          <w:sz w:val="28"/>
          <w:szCs w:val="28"/>
          <w:lang w:val="uk-UA"/>
        </w:rPr>
      </w:pPr>
      <w:r w:rsidRPr="001A67D2">
        <w:rPr>
          <w:rFonts w:ascii="Times New Roman" w:hAnsi="Times New Roman" w:cs="Times New Roman"/>
          <w:sz w:val="28"/>
          <w:szCs w:val="28"/>
          <w:lang w:val="uk-UA"/>
        </w:rPr>
        <w:t>У третьому розділі розроблено концепцію удосконалення механізму фінансування інноваційної діяльності, яка базується на чотирьох ключових принципах: диверсифікація джерел, прозорість процесів, стимулювання інноваційної активності та інтеграція з міжнародними фінансовими системами. Запропоновано модель із п’яти взаємопов’язаних компонентів:</w:t>
      </w:r>
      <w:r>
        <w:rPr>
          <w:rFonts w:ascii="Times New Roman" w:hAnsi="Times New Roman" w:cs="Times New Roman"/>
          <w:sz w:val="28"/>
          <w:szCs w:val="28"/>
          <w:lang w:val="uk-UA"/>
        </w:rPr>
        <w:t xml:space="preserve"> </w:t>
      </w:r>
      <w:r w:rsidRPr="001A67D2">
        <w:rPr>
          <w:rFonts w:ascii="Times New Roman" w:hAnsi="Times New Roman" w:cs="Times New Roman"/>
          <w:sz w:val="28"/>
          <w:szCs w:val="28"/>
          <w:lang w:val="uk-UA"/>
        </w:rPr>
        <w:t>створення інноваційних фондів на підприємствах із залученням 5–10% річного прибутку (наприклад, 2,5–5 млн грн для компанії з прибутком 50 млн грн) для фінансування власних розробок;</w:t>
      </w:r>
      <w:r>
        <w:rPr>
          <w:rFonts w:ascii="Times New Roman" w:hAnsi="Times New Roman" w:cs="Times New Roman"/>
          <w:sz w:val="28"/>
          <w:szCs w:val="28"/>
          <w:lang w:val="uk-UA"/>
        </w:rPr>
        <w:t xml:space="preserve"> </w:t>
      </w:r>
      <w:r w:rsidRPr="001A67D2">
        <w:rPr>
          <w:rFonts w:ascii="Times New Roman" w:hAnsi="Times New Roman" w:cs="Times New Roman"/>
          <w:sz w:val="28"/>
          <w:szCs w:val="28"/>
          <w:lang w:val="uk-UA"/>
        </w:rPr>
        <w:t>державно-приватне партнерство (ДПП) із співфінансуванням державою 30–50% проєктів із соціальним ефектом, наприклад, енергоефективних технологі</w:t>
      </w:r>
      <w:r>
        <w:rPr>
          <w:rFonts w:ascii="Times New Roman" w:hAnsi="Times New Roman" w:cs="Times New Roman"/>
          <w:sz w:val="28"/>
          <w:szCs w:val="28"/>
          <w:lang w:val="uk-UA"/>
        </w:rPr>
        <w:t>й</w:t>
      </w:r>
      <w:r w:rsidRPr="001A67D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A67D2">
        <w:rPr>
          <w:rFonts w:ascii="Times New Roman" w:hAnsi="Times New Roman" w:cs="Times New Roman"/>
          <w:sz w:val="28"/>
          <w:szCs w:val="28"/>
          <w:lang w:val="uk-UA"/>
        </w:rPr>
        <w:t>розвиток венчурного капіталу через спрощення реєстрації фондів і надання податкових пільг, що може залучити до 500 млн грн щорічно;</w:t>
      </w:r>
      <w:r>
        <w:rPr>
          <w:rFonts w:ascii="Times New Roman" w:hAnsi="Times New Roman" w:cs="Times New Roman"/>
          <w:sz w:val="28"/>
          <w:szCs w:val="28"/>
          <w:lang w:val="uk-UA"/>
        </w:rPr>
        <w:t xml:space="preserve"> </w:t>
      </w:r>
      <w:r w:rsidRPr="001A67D2">
        <w:rPr>
          <w:rFonts w:ascii="Times New Roman" w:hAnsi="Times New Roman" w:cs="Times New Roman"/>
          <w:sz w:val="28"/>
          <w:szCs w:val="28"/>
          <w:lang w:val="uk-UA"/>
        </w:rPr>
        <w:t>легалізація краудфандингу для залучення до 100 млн грн щорічно для МСБ;</w:t>
      </w:r>
      <w:r>
        <w:rPr>
          <w:rFonts w:ascii="Times New Roman" w:hAnsi="Times New Roman" w:cs="Times New Roman"/>
          <w:sz w:val="28"/>
          <w:szCs w:val="28"/>
          <w:lang w:val="uk-UA"/>
        </w:rPr>
        <w:t xml:space="preserve"> </w:t>
      </w:r>
      <w:r w:rsidRPr="001A67D2">
        <w:rPr>
          <w:rFonts w:ascii="Times New Roman" w:hAnsi="Times New Roman" w:cs="Times New Roman"/>
          <w:sz w:val="28"/>
          <w:szCs w:val="28"/>
          <w:lang w:val="uk-UA"/>
        </w:rPr>
        <w:t>міжнародна кооперація з використанням грантів ЄС (до 500 тис. євро) і кредитів ЄБРР для підвищення частки іноземного фінансування до 10–12%.</w:t>
      </w:r>
    </w:p>
    <w:p w14:paraId="33E327A5" w14:textId="77777777" w:rsidR="00EA00C9" w:rsidRPr="00EA00C9" w:rsidRDefault="00EA00C9" w:rsidP="00EA00C9">
      <w:pPr>
        <w:tabs>
          <w:tab w:val="left" w:pos="4044"/>
        </w:tabs>
        <w:spacing w:after="0" w:line="360" w:lineRule="auto"/>
        <w:ind w:firstLine="709"/>
        <w:jc w:val="both"/>
        <w:rPr>
          <w:rFonts w:ascii="Times New Roman" w:hAnsi="Times New Roman" w:cs="Times New Roman"/>
          <w:sz w:val="28"/>
          <w:szCs w:val="28"/>
        </w:rPr>
      </w:pPr>
      <w:r w:rsidRPr="00EA00C9">
        <w:rPr>
          <w:rFonts w:ascii="Times New Roman" w:hAnsi="Times New Roman" w:cs="Times New Roman"/>
          <w:sz w:val="28"/>
          <w:szCs w:val="28"/>
          <w:lang w:val="uk-UA"/>
        </w:rPr>
        <w:t xml:space="preserve">Реалізація концепції передбачає п’ять етапів: аналітичний (1–3 місяці), нормативно-правовий (3–6 місяців), організаційний (6–12 місяців), практичний (12–24 місяці) та оціночний (постійно). </w:t>
      </w:r>
      <w:r w:rsidRPr="00EA00C9">
        <w:rPr>
          <w:rFonts w:ascii="Times New Roman" w:hAnsi="Times New Roman" w:cs="Times New Roman"/>
          <w:sz w:val="28"/>
          <w:szCs w:val="28"/>
        </w:rPr>
        <w:t>Очікувані результати включають збільшення обсягу фінансування на 25–30% (до 11 400–11 900 млн грн до 2027 року), підвищення продуктивності проєктів на 15–20% та скорочення залежності від власних коштів до 60–65%. Приклади реалізації, такі як впровадження енергоефективного обладнання з бюджетом 10 млн грн (40% – держава, 30% – венчурний капітал, 30% – власні кошти), можуть забезпечити скорочення енергоспоживання на 15–20% і</w:t>
      </w:r>
      <w:r>
        <w:rPr>
          <w:rFonts w:ascii="Times New Roman" w:hAnsi="Times New Roman" w:cs="Times New Roman"/>
          <w:sz w:val="28"/>
          <w:szCs w:val="28"/>
        </w:rPr>
        <w:t xml:space="preserve"> приріст продуктивності на 10% </w:t>
      </w:r>
      <w:r w:rsidRPr="00EA00C9">
        <w:rPr>
          <w:rFonts w:ascii="Times New Roman" w:hAnsi="Times New Roman" w:cs="Times New Roman"/>
          <w:sz w:val="28"/>
          <w:szCs w:val="28"/>
        </w:rPr>
        <w:t>.</w:t>
      </w:r>
    </w:p>
    <w:p w14:paraId="2C74C753" w14:textId="77777777" w:rsidR="00EA00C9" w:rsidRPr="00EA00C9" w:rsidRDefault="00EA00C9" w:rsidP="00EA00C9">
      <w:pPr>
        <w:tabs>
          <w:tab w:val="left" w:pos="4044"/>
        </w:tabs>
        <w:spacing w:after="0" w:line="360" w:lineRule="auto"/>
        <w:ind w:firstLine="709"/>
        <w:jc w:val="both"/>
        <w:rPr>
          <w:rFonts w:ascii="Times New Roman" w:hAnsi="Times New Roman" w:cs="Times New Roman"/>
          <w:sz w:val="28"/>
          <w:szCs w:val="28"/>
          <w:lang w:val="uk-UA"/>
        </w:rPr>
      </w:pPr>
      <w:r w:rsidRPr="00EA00C9">
        <w:rPr>
          <w:rFonts w:ascii="Times New Roman" w:hAnsi="Times New Roman" w:cs="Times New Roman"/>
          <w:sz w:val="28"/>
          <w:szCs w:val="28"/>
          <w:lang w:val="uk-UA"/>
        </w:rPr>
        <w:t>Реалізація цих заходів сприятиме не лише підвищенню інноваційного потенціалу вітчизняних підприємств, але й їхній інтеграції в глобальні економічні процеси, що є стратегічним завданням для України в довгостроковій перспективі.</w:t>
      </w:r>
    </w:p>
    <w:p w14:paraId="170F8196" w14:textId="77777777" w:rsidR="00143059" w:rsidRPr="00EA00C9" w:rsidRDefault="00143059" w:rsidP="00C02D23">
      <w:pPr>
        <w:tabs>
          <w:tab w:val="left" w:pos="4044"/>
        </w:tabs>
        <w:jc w:val="center"/>
        <w:rPr>
          <w:rFonts w:ascii="Times New Roman" w:hAnsi="Times New Roman" w:cs="Times New Roman"/>
          <w:b/>
          <w:sz w:val="28"/>
          <w:szCs w:val="28"/>
          <w:lang w:val="uk-UA"/>
        </w:rPr>
      </w:pPr>
    </w:p>
    <w:p w14:paraId="48EB2771" w14:textId="77777777" w:rsidR="00143059" w:rsidRDefault="00143059" w:rsidP="00C02D23">
      <w:pPr>
        <w:tabs>
          <w:tab w:val="left" w:pos="4044"/>
        </w:tabs>
        <w:jc w:val="center"/>
        <w:rPr>
          <w:rFonts w:ascii="Times New Roman" w:hAnsi="Times New Roman" w:cs="Times New Roman"/>
          <w:b/>
          <w:sz w:val="28"/>
          <w:szCs w:val="28"/>
          <w:lang w:val="uk-UA"/>
        </w:rPr>
      </w:pPr>
    </w:p>
    <w:p w14:paraId="0054ECA0" w14:textId="77777777" w:rsidR="00143059" w:rsidRDefault="00143059" w:rsidP="00C02D23">
      <w:pPr>
        <w:tabs>
          <w:tab w:val="left" w:pos="4044"/>
        </w:tabs>
        <w:jc w:val="center"/>
        <w:rPr>
          <w:rFonts w:ascii="Times New Roman" w:hAnsi="Times New Roman" w:cs="Times New Roman"/>
          <w:b/>
          <w:sz w:val="28"/>
          <w:szCs w:val="28"/>
          <w:lang w:val="uk-UA"/>
        </w:rPr>
      </w:pPr>
    </w:p>
    <w:p w14:paraId="5506700B" w14:textId="77777777" w:rsidR="00143059" w:rsidRDefault="00143059" w:rsidP="00C02D23">
      <w:pPr>
        <w:tabs>
          <w:tab w:val="left" w:pos="4044"/>
        </w:tabs>
        <w:jc w:val="center"/>
        <w:rPr>
          <w:rFonts w:ascii="Times New Roman" w:hAnsi="Times New Roman" w:cs="Times New Roman"/>
          <w:b/>
          <w:sz w:val="28"/>
          <w:szCs w:val="28"/>
          <w:lang w:val="uk-UA"/>
        </w:rPr>
      </w:pPr>
    </w:p>
    <w:p w14:paraId="73053F7E" w14:textId="77777777" w:rsidR="00143059" w:rsidRDefault="00143059" w:rsidP="00C02D23">
      <w:pPr>
        <w:tabs>
          <w:tab w:val="left" w:pos="4044"/>
        </w:tabs>
        <w:jc w:val="center"/>
        <w:rPr>
          <w:rFonts w:ascii="Times New Roman" w:hAnsi="Times New Roman" w:cs="Times New Roman"/>
          <w:b/>
          <w:sz w:val="28"/>
          <w:szCs w:val="28"/>
          <w:lang w:val="uk-UA"/>
        </w:rPr>
      </w:pPr>
    </w:p>
    <w:p w14:paraId="2B61C9C6" w14:textId="77777777" w:rsidR="00143059" w:rsidRDefault="00143059" w:rsidP="00C02D23">
      <w:pPr>
        <w:tabs>
          <w:tab w:val="left" w:pos="4044"/>
        </w:tabs>
        <w:jc w:val="center"/>
        <w:rPr>
          <w:rFonts w:ascii="Times New Roman" w:hAnsi="Times New Roman" w:cs="Times New Roman"/>
          <w:b/>
          <w:sz w:val="28"/>
          <w:szCs w:val="28"/>
          <w:lang w:val="uk-UA"/>
        </w:rPr>
      </w:pPr>
    </w:p>
    <w:p w14:paraId="6186744A" w14:textId="77777777" w:rsidR="00143059" w:rsidRDefault="00143059" w:rsidP="00C02D23">
      <w:pPr>
        <w:tabs>
          <w:tab w:val="left" w:pos="4044"/>
        </w:tabs>
        <w:jc w:val="center"/>
        <w:rPr>
          <w:rFonts w:ascii="Times New Roman" w:hAnsi="Times New Roman" w:cs="Times New Roman"/>
          <w:b/>
          <w:sz w:val="28"/>
          <w:szCs w:val="28"/>
          <w:lang w:val="uk-UA"/>
        </w:rPr>
      </w:pPr>
    </w:p>
    <w:p w14:paraId="4FA759B4" w14:textId="77777777" w:rsidR="00EA00C9" w:rsidRDefault="00EA00C9" w:rsidP="008B0776">
      <w:pPr>
        <w:tabs>
          <w:tab w:val="left" w:pos="4044"/>
        </w:tabs>
        <w:rPr>
          <w:rFonts w:ascii="Times New Roman" w:hAnsi="Times New Roman" w:cs="Times New Roman"/>
          <w:b/>
          <w:sz w:val="28"/>
          <w:szCs w:val="28"/>
          <w:lang w:val="uk-UA"/>
        </w:rPr>
      </w:pPr>
    </w:p>
    <w:p w14:paraId="6C5F0449" w14:textId="77777777" w:rsidR="00A03D86" w:rsidRDefault="00A03D86" w:rsidP="008B0776">
      <w:pPr>
        <w:tabs>
          <w:tab w:val="left" w:pos="4044"/>
        </w:tabs>
        <w:rPr>
          <w:rFonts w:ascii="Times New Roman" w:hAnsi="Times New Roman" w:cs="Times New Roman"/>
          <w:b/>
          <w:sz w:val="28"/>
          <w:szCs w:val="28"/>
          <w:lang w:val="uk-UA"/>
        </w:rPr>
      </w:pPr>
    </w:p>
    <w:p w14:paraId="14345404" w14:textId="77777777" w:rsidR="00A03D86" w:rsidRDefault="00A03D86" w:rsidP="008B0776">
      <w:pPr>
        <w:tabs>
          <w:tab w:val="left" w:pos="4044"/>
        </w:tabs>
        <w:rPr>
          <w:rFonts w:ascii="Times New Roman" w:hAnsi="Times New Roman" w:cs="Times New Roman"/>
          <w:b/>
          <w:sz w:val="28"/>
          <w:szCs w:val="28"/>
          <w:lang w:val="uk-UA"/>
        </w:rPr>
      </w:pPr>
    </w:p>
    <w:p w14:paraId="3687DBB8" w14:textId="77777777" w:rsidR="00A03D86" w:rsidRDefault="00A03D86" w:rsidP="008B0776">
      <w:pPr>
        <w:tabs>
          <w:tab w:val="left" w:pos="4044"/>
        </w:tabs>
        <w:rPr>
          <w:rFonts w:ascii="Times New Roman" w:hAnsi="Times New Roman" w:cs="Times New Roman"/>
          <w:b/>
          <w:sz w:val="28"/>
          <w:szCs w:val="28"/>
          <w:lang w:val="uk-UA"/>
        </w:rPr>
      </w:pPr>
    </w:p>
    <w:p w14:paraId="62291B57" w14:textId="77777777" w:rsidR="00C02D23" w:rsidRPr="00F718A4" w:rsidRDefault="00C02D23" w:rsidP="00C02D23">
      <w:pPr>
        <w:tabs>
          <w:tab w:val="left" w:pos="4044"/>
        </w:tabs>
        <w:jc w:val="center"/>
        <w:rPr>
          <w:rFonts w:ascii="Times New Roman" w:hAnsi="Times New Roman" w:cs="Times New Roman"/>
          <w:b/>
          <w:sz w:val="28"/>
          <w:szCs w:val="28"/>
          <w:lang w:val="uk-UA"/>
        </w:rPr>
      </w:pPr>
      <w:r w:rsidRPr="00F718A4">
        <w:rPr>
          <w:rFonts w:ascii="Times New Roman" w:hAnsi="Times New Roman" w:cs="Times New Roman"/>
          <w:b/>
          <w:sz w:val="28"/>
          <w:szCs w:val="28"/>
          <w:lang w:val="uk-UA"/>
        </w:rPr>
        <w:t>СПИСОК ВИКОРИСТАНИХ ДЖЕРЕЛ</w:t>
      </w:r>
    </w:p>
    <w:p w14:paraId="5E0AC759"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The Global Innovation Index 2023</w:t>
      </w:r>
      <w:r w:rsidRPr="00F91F75">
        <w:rPr>
          <w:rFonts w:ascii="Times New Roman" w:eastAsia="Times New Roman" w:hAnsi="Times New Roman" w:cs="Times New Roman"/>
          <w:sz w:val="28"/>
          <w:szCs w:val="28"/>
          <w:lang w:val="uk-UA" w:eastAsia="ru-RU"/>
        </w:rPr>
        <w:t>. URL:</w:t>
      </w:r>
      <w:r>
        <w:rPr>
          <w:rFonts w:ascii="Times New Roman" w:eastAsia="Times New Roman" w:hAnsi="Times New Roman" w:cs="Times New Roman"/>
          <w:sz w:val="28"/>
          <w:szCs w:val="28"/>
          <w:lang w:val="uk-UA" w:eastAsia="ru-RU"/>
        </w:rPr>
        <w:t xml:space="preserve"> </w:t>
      </w:r>
      <w:hyperlink r:id="rId21" w:history="1">
        <w:r w:rsidRPr="000362C8">
          <w:rPr>
            <w:rStyle w:val="a5"/>
            <w:rFonts w:ascii="Times New Roman" w:eastAsia="Times New Roman" w:hAnsi="Times New Roman" w:cs="Times New Roman"/>
            <w:sz w:val="28"/>
            <w:szCs w:val="28"/>
            <w:lang w:val="uk-UA" w:eastAsia="ru-RU"/>
          </w:rPr>
          <w:t>https://www.globalinnovationindex.org/gii-2020-repor</w:t>
        </w:r>
      </w:hyperlink>
      <w:r>
        <w:rPr>
          <w:rFonts w:ascii="Times New Roman" w:eastAsia="Times New Roman" w:hAnsi="Times New Roman" w:cs="Times New Roman"/>
          <w:sz w:val="28"/>
          <w:szCs w:val="28"/>
          <w:lang w:val="uk-UA" w:eastAsia="ru-RU"/>
        </w:rPr>
        <w:t xml:space="preserve"> </w:t>
      </w:r>
      <w:r w:rsidRPr="00F91F75">
        <w:rPr>
          <w:rFonts w:ascii="Times New Roman" w:eastAsia="Times New Roman" w:hAnsi="Times New Roman" w:cs="Times New Roman"/>
          <w:sz w:val="28"/>
          <w:szCs w:val="28"/>
          <w:lang w:val="uk-UA" w:eastAsia="ru-RU"/>
        </w:rPr>
        <w:t>(дата звернення: 23.04.2025)</w:t>
      </w:r>
    </w:p>
    <w:p w14:paraId="5E8E8D01"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3B68BF">
        <w:rPr>
          <w:rFonts w:ascii="Times New Roman" w:eastAsia="Times New Roman" w:hAnsi="Times New Roman" w:cs="Times New Roman"/>
          <w:sz w:val="28"/>
          <w:szCs w:val="28"/>
          <w:lang w:val="uk-UA" w:eastAsia="ru-RU"/>
        </w:rPr>
        <w:t xml:space="preserve">Айсулу А. Теоретичні аспекти фінансового забезпечення інноваційного розвитку підприємств. </w:t>
      </w:r>
      <w:r w:rsidRPr="003B68BF">
        <w:rPr>
          <w:rFonts w:ascii="Times New Roman" w:eastAsia="Times New Roman" w:hAnsi="Times New Roman" w:cs="Times New Roman"/>
          <w:i/>
          <w:sz w:val="28"/>
          <w:szCs w:val="28"/>
          <w:lang w:val="uk-UA" w:eastAsia="ru-RU"/>
        </w:rPr>
        <w:t>Вісник ХДУ. Серія Економічні науки.</w:t>
      </w:r>
      <w:r w:rsidRPr="003B68BF">
        <w:rPr>
          <w:rFonts w:ascii="Times New Roman" w:eastAsia="Times New Roman" w:hAnsi="Times New Roman" w:cs="Times New Roman"/>
          <w:sz w:val="28"/>
          <w:szCs w:val="28"/>
          <w:lang w:val="uk-UA" w:eastAsia="ru-RU"/>
        </w:rPr>
        <w:t xml:space="preserve"> 2024. № 50. С. 19-24.</w:t>
      </w:r>
    </w:p>
    <w:p w14:paraId="1DC439E1"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Басюркіна</w:t>
      </w:r>
      <w:r w:rsidRPr="003B68BF">
        <w:rPr>
          <w:rFonts w:ascii="Times New Roman" w:eastAsia="Times New Roman" w:hAnsi="Times New Roman" w:cs="Times New Roman"/>
          <w:sz w:val="28"/>
          <w:szCs w:val="28"/>
          <w:lang w:val="uk-UA" w:eastAsia="ru-RU"/>
        </w:rPr>
        <w:t xml:space="preserve"> Н., Лизогуб, А. Модель прийняття інноваційно-інвестиційних рішень щодо розвитку сучасних підприємств. </w:t>
      </w:r>
      <w:r w:rsidRPr="003B68BF">
        <w:rPr>
          <w:rFonts w:ascii="Times New Roman" w:eastAsia="Times New Roman" w:hAnsi="Times New Roman" w:cs="Times New Roman"/>
          <w:i/>
          <w:sz w:val="28"/>
          <w:szCs w:val="28"/>
          <w:lang w:val="uk-UA" w:eastAsia="ru-RU"/>
        </w:rPr>
        <w:t>Успіхи і досягнення у науці. Серія «Соціальні та поведінкові науки»</w:t>
      </w:r>
      <w:r w:rsidRPr="003B68BF">
        <w:rPr>
          <w:rFonts w:ascii="Times New Roman" w:eastAsia="Times New Roman" w:hAnsi="Times New Roman" w:cs="Times New Roman"/>
          <w:sz w:val="28"/>
          <w:szCs w:val="28"/>
          <w:lang w:val="uk-UA" w:eastAsia="ru-RU"/>
        </w:rPr>
        <w:t>. 2024. № 4(4). С. 646-660.</w:t>
      </w:r>
    </w:p>
    <w:p w14:paraId="0BED3067"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3B68BF">
        <w:rPr>
          <w:rFonts w:ascii="Times New Roman" w:eastAsia="Times New Roman" w:hAnsi="Times New Roman" w:cs="Times New Roman"/>
          <w:sz w:val="28"/>
          <w:szCs w:val="28"/>
          <w:lang w:val="uk-UA" w:eastAsia="ru-RU"/>
        </w:rPr>
        <w:t xml:space="preserve">Газуда Л., Плавайко, М., Кравчук, Е. Інноваційно-фінансова складова стратегії розвитку компанії в умовах трансформаційних змін. </w:t>
      </w:r>
      <w:r w:rsidRPr="003B68BF">
        <w:rPr>
          <w:rFonts w:ascii="Times New Roman" w:eastAsia="Times New Roman" w:hAnsi="Times New Roman" w:cs="Times New Roman"/>
          <w:i/>
          <w:sz w:val="28"/>
          <w:szCs w:val="28"/>
          <w:lang w:val="uk-UA" w:eastAsia="ru-RU"/>
        </w:rPr>
        <w:t>Геополітика України: історія і сучасність.</w:t>
      </w:r>
      <w:r w:rsidRPr="003B68BF">
        <w:rPr>
          <w:rFonts w:ascii="Times New Roman" w:eastAsia="Times New Roman" w:hAnsi="Times New Roman" w:cs="Times New Roman"/>
          <w:sz w:val="28"/>
          <w:szCs w:val="28"/>
          <w:lang w:val="uk-UA" w:eastAsia="ru-RU"/>
        </w:rPr>
        <w:t xml:space="preserve"> 2024. №2(33). С 201-224.</w:t>
      </w:r>
    </w:p>
    <w:p w14:paraId="256693B8" w14:textId="77777777" w:rsidR="00F91F75" w:rsidRPr="00F718A4"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718A4">
        <w:rPr>
          <w:rFonts w:ascii="Times New Roman" w:eastAsia="Times New Roman" w:hAnsi="Times New Roman" w:cs="Times New Roman"/>
          <w:sz w:val="28"/>
          <w:szCs w:val="28"/>
          <w:lang w:val="uk-UA" w:eastAsia="ru-RU"/>
        </w:rPr>
        <w:t xml:space="preserve">Гнатківський Б. Обґрунтування тенденцій інноваційної діяльності підприємств в Україні та пошук джерел фінансування інноваційного розвитку / Б. Гнатківський, О. Ревенко, Т. Гудко. </w:t>
      </w:r>
      <w:r w:rsidRPr="00F718A4">
        <w:rPr>
          <w:rFonts w:ascii="Times New Roman" w:eastAsia="Times New Roman" w:hAnsi="Times New Roman" w:cs="Times New Roman"/>
          <w:i/>
          <w:sz w:val="28"/>
          <w:szCs w:val="28"/>
          <w:lang w:val="uk-UA" w:eastAsia="ru-RU"/>
        </w:rPr>
        <w:t>Український журнал прикладної економіки та техніки</w:t>
      </w:r>
      <w:r w:rsidRPr="00F718A4">
        <w:rPr>
          <w:rFonts w:ascii="Times New Roman" w:eastAsia="Times New Roman" w:hAnsi="Times New Roman" w:cs="Times New Roman"/>
          <w:sz w:val="28"/>
          <w:szCs w:val="28"/>
          <w:lang w:val="uk-UA" w:eastAsia="ru-RU"/>
        </w:rPr>
        <w:t>.  2024.  Том 9, № 4.  С. 104–108.</w:t>
      </w:r>
    </w:p>
    <w:p w14:paraId="6B3DCB70"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3B68BF">
        <w:rPr>
          <w:rFonts w:ascii="Times New Roman" w:eastAsia="Times New Roman" w:hAnsi="Times New Roman" w:cs="Times New Roman"/>
          <w:sz w:val="28"/>
          <w:szCs w:val="28"/>
          <w:lang w:val="uk-UA" w:eastAsia="ru-RU"/>
        </w:rPr>
        <w:t xml:space="preserve">Гук О. В., Шендерівська Л. П., Мохонько Г. А. Інвестування інноваційної діяльності. </w:t>
      </w:r>
      <w:r w:rsidRPr="00F91F75">
        <w:rPr>
          <w:rFonts w:ascii="Times New Roman" w:eastAsia="Times New Roman" w:hAnsi="Times New Roman" w:cs="Times New Roman"/>
          <w:sz w:val="28"/>
          <w:szCs w:val="28"/>
          <w:lang w:val="uk-UA" w:eastAsia="ru-RU"/>
        </w:rPr>
        <w:t>Київ : Видавництво «Політехніка», 2022. 186 с.</w:t>
      </w:r>
    </w:p>
    <w:p w14:paraId="3CB28079"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Дем’яненко Т. Теоретичні аспекти формування механізму інноваційного</w:t>
      </w:r>
      <w:r>
        <w:rPr>
          <w:rFonts w:ascii="Times New Roman" w:eastAsia="Times New Roman" w:hAnsi="Times New Roman" w:cs="Times New Roman"/>
          <w:sz w:val="28"/>
          <w:szCs w:val="28"/>
          <w:lang w:val="uk-UA" w:eastAsia="ru-RU"/>
        </w:rPr>
        <w:t xml:space="preserve"> </w:t>
      </w:r>
      <w:r w:rsidRPr="000F13FC">
        <w:rPr>
          <w:rFonts w:ascii="Times New Roman" w:eastAsia="Times New Roman" w:hAnsi="Times New Roman" w:cs="Times New Roman"/>
          <w:sz w:val="28"/>
          <w:szCs w:val="28"/>
          <w:lang w:val="uk-UA" w:eastAsia="ru-RU"/>
        </w:rPr>
        <w:t xml:space="preserve">розвитку підприємства / Т. Дем’яненко, Д. </w:t>
      </w:r>
      <w:r>
        <w:rPr>
          <w:rFonts w:ascii="Times New Roman" w:eastAsia="Times New Roman" w:hAnsi="Times New Roman" w:cs="Times New Roman"/>
          <w:sz w:val="28"/>
          <w:szCs w:val="28"/>
          <w:lang w:val="uk-UA" w:eastAsia="ru-RU"/>
        </w:rPr>
        <w:t>Альошин. Адаптивне управління: тео</w:t>
      </w:r>
      <w:r w:rsidRPr="000F13FC">
        <w:rPr>
          <w:rFonts w:ascii="Times New Roman" w:eastAsia="Times New Roman" w:hAnsi="Times New Roman" w:cs="Times New Roman"/>
          <w:sz w:val="28"/>
          <w:szCs w:val="28"/>
          <w:lang w:val="uk-UA" w:eastAsia="ru-RU"/>
        </w:rPr>
        <w:t xml:space="preserve">рія </w:t>
      </w:r>
      <w:r>
        <w:rPr>
          <w:rFonts w:ascii="Times New Roman" w:eastAsia="Times New Roman" w:hAnsi="Times New Roman" w:cs="Times New Roman"/>
          <w:sz w:val="28"/>
          <w:szCs w:val="28"/>
          <w:lang w:val="uk-UA" w:eastAsia="ru-RU"/>
        </w:rPr>
        <w:t xml:space="preserve">і практика. Серія «Економіка».  2023. </w:t>
      </w:r>
      <w:r w:rsidRPr="000F13FC">
        <w:rPr>
          <w:rFonts w:ascii="Times New Roman" w:eastAsia="Times New Roman" w:hAnsi="Times New Roman" w:cs="Times New Roman"/>
          <w:sz w:val="28"/>
          <w:szCs w:val="28"/>
          <w:lang w:val="uk-UA" w:eastAsia="ru-RU"/>
        </w:rPr>
        <w:t xml:space="preserve"> Вип. 17(34).</w:t>
      </w:r>
      <w:r>
        <w:rPr>
          <w:rFonts w:ascii="Times New Roman" w:eastAsia="Times New Roman" w:hAnsi="Times New Roman" w:cs="Times New Roman"/>
          <w:sz w:val="28"/>
          <w:szCs w:val="28"/>
          <w:lang w:val="en-US" w:eastAsia="ru-RU"/>
        </w:rPr>
        <w:t>URL</w:t>
      </w:r>
      <w:r w:rsidRPr="000F13FC">
        <w:rPr>
          <w:rFonts w:ascii="Times New Roman" w:eastAsia="Times New Roman" w:hAnsi="Times New Roman" w:cs="Times New Roman"/>
          <w:sz w:val="28"/>
          <w:szCs w:val="28"/>
          <w:lang w:val="uk-UA" w:eastAsia="ru-RU"/>
        </w:rPr>
        <w:t xml:space="preserve"> : </w:t>
      </w:r>
      <w:hyperlink r:id="rId22" w:history="1">
        <w:r w:rsidRPr="000362C8">
          <w:rPr>
            <w:rStyle w:val="a5"/>
            <w:rFonts w:ascii="Times New Roman" w:eastAsia="Times New Roman" w:hAnsi="Times New Roman" w:cs="Times New Roman"/>
            <w:sz w:val="28"/>
            <w:szCs w:val="28"/>
            <w:lang w:val="uk-UA" w:eastAsia="ru-RU"/>
          </w:rPr>
          <w:t>https://doi.org/10.33296/2707-0654-17(34)-08</w:t>
        </w:r>
      </w:hyperlink>
      <w:r w:rsidRPr="000F13F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дата звернення: 01.05.2025)</w:t>
      </w:r>
    </w:p>
    <w:p w14:paraId="4CBACA71" w14:textId="77777777" w:rsidR="00A03D86" w:rsidRDefault="00F91F75" w:rsidP="00A03D86">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91F75">
        <w:rPr>
          <w:rFonts w:ascii="Times New Roman" w:eastAsia="Times New Roman" w:hAnsi="Times New Roman" w:cs="Times New Roman"/>
          <w:sz w:val="28"/>
          <w:szCs w:val="28"/>
          <w:lang w:val="uk-UA" w:eastAsia="ru-RU"/>
        </w:rPr>
        <w:t>Державна служба статистики України: офіційний веб-сайт. URL:</w:t>
      </w:r>
      <w:r>
        <w:rPr>
          <w:rFonts w:ascii="Times New Roman" w:eastAsia="Times New Roman" w:hAnsi="Times New Roman" w:cs="Times New Roman"/>
          <w:sz w:val="28"/>
          <w:szCs w:val="28"/>
          <w:lang w:val="uk-UA" w:eastAsia="ru-RU"/>
        </w:rPr>
        <w:t xml:space="preserve"> </w:t>
      </w:r>
      <w:r w:rsidRPr="00F91F75">
        <w:rPr>
          <w:rFonts w:ascii="Times New Roman" w:eastAsia="Times New Roman" w:hAnsi="Times New Roman" w:cs="Times New Roman"/>
          <w:sz w:val="28"/>
          <w:szCs w:val="28"/>
          <w:lang w:val="uk-UA" w:eastAsia="ru-RU"/>
        </w:rPr>
        <w:t>http://www.ukrsta</w:t>
      </w:r>
      <w:r>
        <w:rPr>
          <w:rFonts w:ascii="Times New Roman" w:eastAsia="Times New Roman" w:hAnsi="Times New Roman" w:cs="Times New Roman"/>
          <w:sz w:val="28"/>
          <w:szCs w:val="28"/>
          <w:lang w:val="uk-UA" w:eastAsia="ru-RU"/>
        </w:rPr>
        <w:t>t.gov.ua/ (дата звернення: 23.04.2025</w:t>
      </w:r>
      <w:r w:rsidRPr="00F91F75">
        <w:rPr>
          <w:rFonts w:ascii="Times New Roman" w:eastAsia="Times New Roman" w:hAnsi="Times New Roman" w:cs="Times New Roman"/>
          <w:sz w:val="28"/>
          <w:szCs w:val="28"/>
          <w:lang w:val="uk-UA" w:eastAsia="ru-RU"/>
        </w:rPr>
        <w:t>)</w:t>
      </w:r>
    </w:p>
    <w:p w14:paraId="7E359FB6" w14:textId="34F53934" w:rsidR="00F91F75" w:rsidRPr="00A03D86" w:rsidRDefault="00F91F75" w:rsidP="00A03D86">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A03D86">
        <w:rPr>
          <w:rFonts w:ascii="Times New Roman" w:eastAsia="Times New Roman" w:hAnsi="Times New Roman" w:cs="Times New Roman"/>
          <w:sz w:val="28"/>
          <w:szCs w:val="28"/>
          <w:lang w:val="uk-UA" w:eastAsia="ru-RU"/>
        </w:rPr>
        <w:t xml:space="preserve">Дорошкевич К. О. Колінко Н. О., Дзвоник Р. Я. Інноваційний розвиток підприємства: сутність, значення та  візуалізація складових.  </w:t>
      </w:r>
      <w:r w:rsidRPr="00A03D86">
        <w:rPr>
          <w:rFonts w:ascii="Times New Roman" w:eastAsia="Times New Roman" w:hAnsi="Times New Roman" w:cs="Times New Roman"/>
          <w:i/>
          <w:iCs/>
          <w:sz w:val="28"/>
          <w:szCs w:val="28"/>
          <w:lang w:val="uk-UA" w:eastAsia="ru-RU"/>
        </w:rPr>
        <w:t>Економічний простір</w:t>
      </w:r>
      <w:r w:rsidRPr="00A03D86">
        <w:rPr>
          <w:rFonts w:ascii="Times New Roman" w:eastAsia="Times New Roman" w:hAnsi="Times New Roman" w:cs="Times New Roman"/>
          <w:sz w:val="28"/>
          <w:szCs w:val="28"/>
          <w:lang w:val="uk-UA" w:eastAsia="ru-RU"/>
        </w:rPr>
        <w:t xml:space="preserve">. 2024. №190. С. 8–14. </w:t>
      </w:r>
    </w:p>
    <w:p w14:paraId="6A3CFEFA"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91F75">
        <w:rPr>
          <w:rFonts w:ascii="Times New Roman" w:eastAsia="Times New Roman" w:hAnsi="Times New Roman" w:cs="Times New Roman"/>
          <w:sz w:val="28"/>
          <w:szCs w:val="28"/>
          <w:lang w:val="uk-UA" w:eastAsia="ru-RU"/>
        </w:rPr>
        <w:t xml:space="preserve">Зельдіна О. Поняття інвестиційно-інноваційної моделі в умовах сталого розвитку економіки України. </w:t>
      </w:r>
      <w:r w:rsidRPr="00F91F75">
        <w:rPr>
          <w:rFonts w:ascii="Times New Roman" w:eastAsia="Times New Roman" w:hAnsi="Times New Roman" w:cs="Times New Roman"/>
          <w:i/>
          <w:sz w:val="28"/>
          <w:szCs w:val="28"/>
          <w:lang w:val="uk-UA" w:eastAsia="ru-RU"/>
        </w:rPr>
        <w:t>Підприємництво, господарство і право.</w:t>
      </w:r>
      <w:r w:rsidRPr="00F91F75">
        <w:rPr>
          <w:rFonts w:ascii="Times New Roman" w:eastAsia="Times New Roman" w:hAnsi="Times New Roman" w:cs="Times New Roman"/>
          <w:sz w:val="28"/>
          <w:szCs w:val="28"/>
          <w:lang w:val="uk-UA" w:eastAsia="ru-RU"/>
        </w:rPr>
        <w:t xml:space="preserve"> 2020. № 7. С. 83–88.</w:t>
      </w:r>
    </w:p>
    <w:p w14:paraId="410EB262"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C02D23">
        <w:rPr>
          <w:rFonts w:ascii="Times New Roman" w:eastAsia="Times New Roman" w:hAnsi="Times New Roman" w:cs="Times New Roman"/>
          <w:sz w:val="28"/>
          <w:szCs w:val="28"/>
          <w:lang w:val="uk-UA" w:eastAsia="ru-RU"/>
        </w:rPr>
        <w:t>Зянько В.</w:t>
      </w:r>
      <w:r>
        <w:rPr>
          <w:rFonts w:ascii="Times New Roman" w:eastAsia="Times New Roman" w:hAnsi="Times New Roman" w:cs="Times New Roman"/>
          <w:sz w:val="28"/>
          <w:szCs w:val="28"/>
          <w:lang w:val="uk-UA" w:eastAsia="ru-RU"/>
        </w:rPr>
        <w:t xml:space="preserve"> </w:t>
      </w:r>
      <w:r w:rsidRPr="00C02D23">
        <w:rPr>
          <w:rFonts w:ascii="Times New Roman" w:eastAsia="Times New Roman" w:hAnsi="Times New Roman" w:cs="Times New Roman"/>
          <w:sz w:val="28"/>
          <w:szCs w:val="28"/>
          <w:lang w:val="uk-UA" w:eastAsia="ru-RU"/>
        </w:rPr>
        <w:t>В., Стасюк Н.</w:t>
      </w:r>
      <w:r>
        <w:rPr>
          <w:rFonts w:ascii="Times New Roman" w:eastAsia="Times New Roman" w:hAnsi="Times New Roman" w:cs="Times New Roman"/>
          <w:sz w:val="28"/>
          <w:szCs w:val="28"/>
          <w:lang w:val="uk-UA" w:eastAsia="ru-RU"/>
        </w:rPr>
        <w:t xml:space="preserve"> </w:t>
      </w:r>
      <w:r w:rsidRPr="00C02D23">
        <w:rPr>
          <w:rFonts w:ascii="Times New Roman" w:eastAsia="Times New Roman" w:hAnsi="Times New Roman" w:cs="Times New Roman"/>
          <w:sz w:val="28"/>
          <w:szCs w:val="28"/>
          <w:lang w:val="uk-UA" w:eastAsia="ru-RU"/>
        </w:rPr>
        <w:t xml:space="preserve">Л., Дун Сіньїн. Сутність та джерела фінансового забезпечення інноваційної діяльності малих підприємств. </w:t>
      </w:r>
      <w:r w:rsidRPr="00C02D23">
        <w:rPr>
          <w:rFonts w:ascii="Times New Roman" w:eastAsia="Times New Roman" w:hAnsi="Times New Roman" w:cs="Times New Roman"/>
          <w:i/>
          <w:sz w:val="28"/>
          <w:szCs w:val="28"/>
          <w:lang w:eastAsia="ru-RU"/>
        </w:rPr>
        <w:t>Вісник Вінницького політехнічного інституту</w:t>
      </w:r>
      <w:r w:rsidRPr="00C02D23">
        <w:rPr>
          <w:rFonts w:ascii="Times New Roman" w:eastAsia="Times New Roman" w:hAnsi="Times New Roman" w:cs="Times New Roman"/>
          <w:sz w:val="28"/>
          <w:szCs w:val="28"/>
          <w:lang w:eastAsia="ru-RU"/>
        </w:rPr>
        <w:t>. 2015. № 4. С 57–62.</w:t>
      </w:r>
    </w:p>
    <w:p w14:paraId="6BDE3337"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Іванов</w:t>
      </w:r>
      <w:r w:rsidRPr="003B68BF">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 xml:space="preserve"> М., Щербаков </w:t>
      </w:r>
      <w:r w:rsidRPr="003B68B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 xml:space="preserve"> </w:t>
      </w:r>
      <w:r w:rsidRPr="003B68BF">
        <w:rPr>
          <w:rFonts w:ascii="Times New Roman" w:eastAsia="Times New Roman" w:hAnsi="Times New Roman" w:cs="Times New Roman"/>
          <w:sz w:val="28"/>
          <w:szCs w:val="28"/>
          <w:lang w:val="uk-UA" w:eastAsia="ru-RU"/>
        </w:rPr>
        <w:t xml:space="preserve">Ю. Системно-динамічний підхід до моделювання механізму фінансування інноваційної діяльності. </w:t>
      </w:r>
      <w:r w:rsidRPr="003B68BF">
        <w:rPr>
          <w:rFonts w:ascii="Times New Roman" w:eastAsia="Times New Roman" w:hAnsi="Times New Roman" w:cs="Times New Roman"/>
          <w:sz w:val="28"/>
          <w:szCs w:val="28"/>
          <w:lang w:eastAsia="ru-RU"/>
        </w:rPr>
        <w:t xml:space="preserve">Світ наукових досліджень. 2023. №20. URL: </w:t>
      </w:r>
      <w:hyperlink r:id="rId23" w:history="1">
        <w:r w:rsidRPr="003B68BF">
          <w:rPr>
            <w:rStyle w:val="a5"/>
            <w:rFonts w:ascii="Times New Roman" w:eastAsia="Times New Roman" w:hAnsi="Times New Roman" w:cs="Times New Roman"/>
            <w:sz w:val="28"/>
            <w:szCs w:val="28"/>
            <w:lang w:eastAsia="ru-RU"/>
          </w:rPr>
          <w:t>http://www.economy-confer.com.ua/full-article/4688/</w:t>
        </w:r>
      </w:hyperlink>
      <w:r>
        <w:rPr>
          <w:rFonts w:ascii="Times New Roman" w:eastAsia="Times New Roman" w:hAnsi="Times New Roman" w:cs="Times New Roman"/>
          <w:sz w:val="28"/>
          <w:szCs w:val="28"/>
          <w:lang w:eastAsia="ru-RU"/>
        </w:rPr>
        <w:t xml:space="preserve"> (дата звернення: 21.0</w:t>
      </w:r>
      <w:r>
        <w:rPr>
          <w:rFonts w:ascii="Times New Roman" w:eastAsia="Times New Roman" w:hAnsi="Times New Roman" w:cs="Times New Roman"/>
          <w:sz w:val="28"/>
          <w:szCs w:val="28"/>
          <w:lang w:val="uk-UA" w:eastAsia="ru-RU"/>
        </w:rPr>
        <w:t>4</w:t>
      </w:r>
      <w:r w:rsidRPr="003B68BF">
        <w:rPr>
          <w:rFonts w:ascii="Times New Roman" w:eastAsia="Times New Roman" w:hAnsi="Times New Roman" w:cs="Times New Roman"/>
          <w:sz w:val="28"/>
          <w:szCs w:val="28"/>
          <w:lang w:eastAsia="ru-RU"/>
        </w:rPr>
        <w:t>.2025).</w:t>
      </w:r>
    </w:p>
    <w:p w14:paraId="465FA81C"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3B68BF">
        <w:rPr>
          <w:rFonts w:ascii="Times New Roman" w:eastAsia="Times New Roman" w:hAnsi="Times New Roman" w:cs="Times New Roman"/>
          <w:sz w:val="28"/>
          <w:szCs w:val="28"/>
          <w:lang w:val="uk-UA" w:eastAsia="ru-RU"/>
        </w:rPr>
        <w:t>Ів</w:t>
      </w:r>
      <w:r>
        <w:rPr>
          <w:rFonts w:ascii="Times New Roman" w:eastAsia="Times New Roman" w:hAnsi="Times New Roman" w:cs="Times New Roman"/>
          <w:sz w:val="28"/>
          <w:szCs w:val="28"/>
          <w:lang w:val="uk-UA" w:eastAsia="ru-RU"/>
        </w:rPr>
        <w:t>ченко</w:t>
      </w:r>
      <w:r w:rsidRPr="003B68BF">
        <w:rPr>
          <w:rFonts w:ascii="Times New Roman" w:eastAsia="Times New Roman" w:hAnsi="Times New Roman" w:cs="Times New Roman"/>
          <w:sz w:val="28"/>
          <w:szCs w:val="28"/>
          <w:lang w:val="uk-UA" w:eastAsia="ru-RU"/>
        </w:rPr>
        <w:t xml:space="preserve"> О. Що таке фінансова модель і навіщо вона взагалі потрібна? URL: https://pareto.com.ua/ua/blog/shho-take-finansova-model-navishho-vona-vzagali-</w:t>
      </w:r>
      <w:r>
        <w:rPr>
          <w:rFonts w:ascii="Times New Roman" w:eastAsia="Times New Roman" w:hAnsi="Times New Roman" w:cs="Times New Roman"/>
          <w:sz w:val="28"/>
          <w:szCs w:val="28"/>
          <w:lang w:val="uk-UA" w:eastAsia="ru-RU"/>
        </w:rPr>
        <w:t>potribna/ (дата звернення: 21.04</w:t>
      </w:r>
      <w:r w:rsidRPr="003B68BF">
        <w:rPr>
          <w:rFonts w:ascii="Times New Roman" w:eastAsia="Times New Roman" w:hAnsi="Times New Roman" w:cs="Times New Roman"/>
          <w:sz w:val="28"/>
          <w:szCs w:val="28"/>
          <w:lang w:val="uk-UA" w:eastAsia="ru-RU"/>
        </w:rPr>
        <w:t>.2025).</w:t>
      </w:r>
    </w:p>
    <w:p w14:paraId="5EC11FFF"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C02D23">
        <w:rPr>
          <w:rFonts w:ascii="Times New Roman" w:eastAsia="Times New Roman" w:hAnsi="Times New Roman" w:cs="Times New Roman"/>
          <w:sz w:val="28"/>
          <w:szCs w:val="28"/>
          <w:lang w:val="uk-UA" w:eastAsia="ru-RU"/>
        </w:rPr>
        <w:t>Ільчук В.</w:t>
      </w:r>
      <w:r>
        <w:rPr>
          <w:rFonts w:ascii="Times New Roman" w:eastAsia="Times New Roman" w:hAnsi="Times New Roman" w:cs="Times New Roman"/>
          <w:sz w:val="28"/>
          <w:szCs w:val="28"/>
          <w:lang w:val="uk-UA" w:eastAsia="ru-RU"/>
        </w:rPr>
        <w:t xml:space="preserve"> </w:t>
      </w:r>
      <w:r w:rsidRPr="00C02D23">
        <w:rPr>
          <w:rFonts w:ascii="Times New Roman" w:eastAsia="Times New Roman" w:hAnsi="Times New Roman" w:cs="Times New Roman"/>
          <w:sz w:val="28"/>
          <w:szCs w:val="28"/>
          <w:lang w:val="uk-UA" w:eastAsia="ru-RU"/>
        </w:rPr>
        <w:t>П., Шпомер Т.</w:t>
      </w:r>
      <w:r>
        <w:rPr>
          <w:rFonts w:ascii="Times New Roman" w:eastAsia="Times New Roman" w:hAnsi="Times New Roman" w:cs="Times New Roman"/>
          <w:sz w:val="28"/>
          <w:szCs w:val="28"/>
          <w:lang w:val="uk-UA" w:eastAsia="ru-RU"/>
        </w:rPr>
        <w:t xml:space="preserve"> </w:t>
      </w:r>
      <w:r w:rsidRPr="00C02D23">
        <w:rPr>
          <w:rFonts w:ascii="Times New Roman" w:eastAsia="Times New Roman" w:hAnsi="Times New Roman" w:cs="Times New Roman"/>
          <w:sz w:val="28"/>
          <w:szCs w:val="28"/>
          <w:lang w:val="uk-UA" w:eastAsia="ru-RU"/>
        </w:rPr>
        <w:t xml:space="preserve">О. Фінансове забезпечення сталого розвитку підприємств реального сектора економіки. </w:t>
      </w:r>
      <w:r w:rsidRPr="00C02D23">
        <w:rPr>
          <w:rFonts w:ascii="Times New Roman" w:eastAsia="Times New Roman" w:hAnsi="Times New Roman" w:cs="Times New Roman"/>
          <w:i/>
          <w:sz w:val="28"/>
          <w:szCs w:val="28"/>
          <w:lang w:val="uk-UA" w:eastAsia="ru-RU"/>
        </w:rPr>
        <w:t>Проблеми економіки</w:t>
      </w:r>
      <w:r w:rsidRPr="00C02D23">
        <w:rPr>
          <w:rFonts w:ascii="Times New Roman" w:eastAsia="Times New Roman" w:hAnsi="Times New Roman" w:cs="Times New Roman"/>
          <w:sz w:val="28"/>
          <w:szCs w:val="28"/>
          <w:lang w:val="uk-UA" w:eastAsia="ru-RU"/>
        </w:rPr>
        <w:t>. 2018. № 2. С. 310–316.</w:t>
      </w:r>
    </w:p>
    <w:p w14:paraId="31F57412"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 xml:space="preserve">Кіщак І. Теоретико-методологічні підходи до формування організаційно-економічного механізму управління підприємством </w:t>
      </w:r>
      <w:r>
        <w:rPr>
          <w:rFonts w:ascii="Times New Roman" w:eastAsia="Times New Roman" w:hAnsi="Times New Roman" w:cs="Times New Roman"/>
          <w:sz w:val="28"/>
          <w:szCs w:val="28"/>
          <w:lang w:val="uk-UA" w:eastAsia="ru-RU"/>
        </w:rPr>
        <w:t xml:space="preserve">/ І. Кіщак, А. Слюсаренко. </w:t>
      </w:r>
      <w:r w:rsidRPr="000F13FC">
        <w:rPr>
          <w:rFonts w:ascii="Times New Roman" w:eastAsia="Times New Roman" w:hAnsi="Times New Roman" w:cs="Times New Roman"/>
          <w:i/>
          <w:sz w:val="28"/>
          <w:szCs w:val="28"/>
          <w:lang w:val="uk-UA" w:eastAsia="ru-RU"/>
        </w:rPr>
        <w:t>Науковий вісник Миколаївського національного університету імені В. О. Сухомлинського. Економічні науки.</w:t>
      </w:r>
      <w:r>
        <w:rPr>
          <w:rFonts w:ascii="Times New Roman" w:eastAsia="Times New Roman" w:hAnsi="Times New Roman" w:cs="Times New Roman"/>
          <w:sz w:val="28"/>
          <w:szCs w:val="28"/>
          <w:lang w:val="uk-UA" w:eastAsia="ru-RU"/>
        </w:rPr>
        <w:t xml:space="preserve">  2019.  № 1. </w:t>
      </w:r>
      <w:r w:rsidRPr="000F13FC">
        <w:rPr>
          <w:rFonts w:ascii="Times New Roman" w:eastAsia="Times New Roman" w:hAnsi="Times New Roman" w:cs="Times New Roman"/>
          <w:sz w:val="28"/>
          <w:szCs w:val="28"/>
          <w:lang w:val="uk-UA" w:eastAsia="ru-RU"/>
        </w:rPr>
        <w:t xml:space="preserve"> С. 49-56. </w:t>
      </w:r>
    </w:p>
    <w:p w14:paraId="3072A8BD"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Коваленко О. В. Формування механізмі</w:t>
      </w:r>
      <w:r>
        <w:rPr>
          <w:rFonts w:ascii="Times New Roman" w:eastAsia="Times New Roman" w:hAnsi="Times New Roman" w:cs="Times New Roman"/>
          <w:sz w:val="28"/>
          <w:szCs w:val="28"/>
          <w:lang w:val="uk-UA" w:eastAsia="ru-RU"/>
        </w:rPr>
        <w:t>в прогнозування маркетинго-інно</w:t>
      </w:r>
      <w:r w:rsidRPr="000F13FC">
        <w:rPr>
          <w:rFonts w:ascii="Times New Roman" w:eastAsia="Times New Roman" w:hAnsi="Times New Roman" w:cs="Times New Roman"/>
          <w:sz w:val="28"/>
          <w:szCs w:val="28"/>
          <w:lang w:val="uk-UA" w:eastAsia="ru-RU"/>
        </w:rPr>
        <w:t>вацій</w:t>
      </w:r>
      <w:r>
        <w:rPr>
          <w:rFonts w:ascii="Times New Roman" w:eastAsia="Times New Roman" w:hAnsi="Times New Roman" w:cs="Times New Roman"/>
          <w:sz w:val="28"/>
          <w:szCs w:val="28"/>
          <w:lang w:val="uk-UA" w:eastAsia="ru-RU"/>
        </w:rPr>
        <w:t xml:space="preserve">ного розвитку економіки України. </w:t>
      </w:r>
      <w:r w:rsidRPr="000F13FC">
        <w:rPr>
          <w:rFonts w:ascii="Times New Roman" w:eastAsia="Times New Roman" w:hAnsi="Times New Roman" w:cs="Times New Roman"/>
          <w:i/>
          <w:sz w:val="28"/>
          <w:szCs w:val="28"/>
          <w:lang w:val="uk-UA" w:eastAsia="ru-RU"/>
        </w:rPr>
        <w:t>Науковий вісник Херсонського державного університету. Серія «Економічні науки».</w:t>
      </w:r>
      <w:r>
        <w:rPr>
          <w:rFonts w:ascii="Times New Roman" w:eastAsia="Times New Roman" w:hAnsi="Times New Roman" w:cs="Times New Roman"/>
          <w:sz w:val="28"/>
          <w:szCs w:val="28"/>
          <w:lang w:val="uk-UA" w:eastAsia="ru-RU"/>
        </w:rPr>
        <w:t xml:space="preserve">  2015.</w:t>
      </w:r>
      <w:r w:rsidRPr="000F13FC">
        <w:rPr>
          <w:rFonts w:ascii="Times New Roman" w:eastAsia="Times New Roman" w:hAnsi="Times New Roman" w:cs="Times New Roman"/>
          <w:sz w:val="28"/>
          <w:szCs w:val="28"/>
          <w:lang w:val="uk-UA" w:eastAsia="ru-RU"/>
        </w:rPr>
        <w:t xml:space="preserve"> Вип. 11,</w:t>
      </w:r>
      <w:r>
        <w:rPr>
          <w:rFonts w:ascii="Times New Roman" w:eastAsia="Times New Roman" w:hAnsi="Times New Roman" w:cs="Times New Roman"/>
          <w:sz w:val="28"/>
          <w:szCs w:val="28"/>
          <w:lang w:val="uk-UA" w:eastAsia="ru-RU"/>
        </w:rPr>
        <w:t xml:space="preserve"> ч. 2. </w:t>
      </w:r>
      <w:r w:rsidRPr="000F13FC">
        <w:rPr>
          <w:rFonts w:ascii="Times New Roman" w:eastAsia="Times New Roman" w:hAnsi="Times New Roman" w:cs="Times New Roman"/>
          <w:sz w:val="28"/>
          <w:szCs w:val="28"/>
          <w:lang w:val="uk-UA" w:eastAsia="ru-RU"/>
        </w:rPr>
        <w:t>С. 38–45.</w:t>
      </w:r>
    </w:p>
    <w:p w14:paraId="39C0181A"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Колодинський</w:t>
      </w:r>
      <w:r w:rsidRPr="003B68BF">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 xml:space="preserve"> </w:t>
      </w:r>
      <w:r w:rsidRPr="003B68BF">
        <w:rPr>
          <w:rFonts w:ascii="Times New Roman" w:eastAsia="Times New Roman" w:hAnsi="Times New Roman" w:cs="Times New Roman"/>
          <w:sz w:val="28"/>
          <w:szCs w:val="28"/>
          <w:lang w:val="uk-UA" w:eastAsia="ru-RU"/>
        </w:rPr>
        <w:t xml:space="preserve">Б. Імітаційне комп'ютерне моделювання процесу організації підприємницького інноваційного центру за допомогою програмного пакету «iThink». </w:t>
      </w:r>
      <w:r w:rsidRPr="003B68BF">
        <w:rPr>
          <w:rFonts w:ascii="Times New Roman" w:eastAsia="Times New Roman" w:hAnsi="Times New Roman" w:cs="Times New Roman"/>
          <w:i/>
          <w:sz w:val="28"/>
          <w:szCs w:val="28"/>
          <w:lang w:val="uk-UA" w:eastAsia="ru-RU"/>
        </w:rPr>
        <w:t>Економічні інновації.</w:t>
      </w:r>
      <w:r w:rsidRPr="003B68BF">
        <w:rPr>
          <w:rFonts w:ascii="Times New Roman" w:eastAsia="Times New Roman" w:hAnsi="Times New Roman" w:cs="Times New Roman"/>
          <w:sz w:val="28"/>
          <w:szCs w:val="28"/>
          <w:lang w:val="uk-UA" w:eastAsia="ru-RU"/>
        </w:rPr>
        <w:t xml:space="preserve"> 2015. №59. С. 142-149.</w:t>
      </w:r>
    </w:p>
    <w:p w14:paraId="19697530"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Левченко Ю. Г. Формування механізм</w:t>
      </w:r>
      <w:r>
        <w:rPr>
          <w:rFonts w:ascii="Times New Roman" w:eastAsia="Times New Roman" w:hAnsi="Times New Roman" w:cs="Times New Roman"/>
          <w:sz w:val="28"/>
          <w:szCs w:val="28"/>
          <w:lang w:val="uk-UA" w:eastAsia="ru-RU"/>
        </w:rPr>
        <w:t xml:space="preserve">у управління інноваціями підприємств харчової промисловості. </w:t>
      </w:r>
      <w:r w:rsidRPr="000F13FC">
        <w:rPr>
          <w:rFonts w:ascii="Times New Roman" w:eastAsia="Times New Roman" w:hAnsi="Times New Roman" w:cs="Times New Roman"/>
          <w:i/>
          <w:sz w:val="28"/>
          <w:szCs w:val="28"/>
          <w:lang w:val="uk-UA" w:eastAsia="ru-RU"/>
        </w:rPr>
        <w:t>Вісник Житомирського державного технологічного університету. Серія «Економічні науки».</w:t>
      </w:r>
      <w:r w:rsidRPr="000F13F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2007.  № 3(41). </w:t>
      </w:r>
      <w:r w:rsidRPr="000F13FC">
        <w:rPr>
          <w:rFonts w:ascii="Times New Roman" w:eastAsia="Times New Roman" w:hAnsi="Times New Roman" w:cs="Times New Roman"/>
          <w:sz w:val="28"/>
          <w:szCs w:val="28"/>
          <w:lang w:val="uk-UA" w:eastAsia="ru-RU"/>
        </w:rPr>
        <w:t>С. 192–197.</w:t>
      </w:r>
    </w:p>
    <w:p w14:paraId="7DC180CF" w14:textId="77777777" w:rsidR="00F91F75" w:rsidRPr="00F718A4"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718A4">
        <w:rPr>
          <w:rFonts w:ascii="Times New Roman" w:eastAsia="Times New Roman" w:hAnsi="Times New Roman" w:cs="Times New Roman"/>
          <w:sz w:val="28"/>
          <w:szCs w:val="28"/>
          <w:lang w:val="uk-UA" w:eastAsia="ru-RU"/>
        </w:rPr>
        <w:t xml:space="preserve">Лупак Р. Л., Наконечна Н. В., Микитин О. З. Теоретичний базис управління забезпеченням економічної  ефективності  діяльності  підприємства  на  засадах  інноваційного  розвитку. </w:t>
      </w:r>
      <w:r w:rsidRPr="00F718A4">
        <w:rPr>
          <w:rFonts w:ascii="Times New Roman" w:eastAsia="Times New Roman" w:hAnsi="Times New Roman" w:cs="Times New Roman"/>
          <w:i/>
          <w:sz w:val="28"/>
          <w:szCs w:val="28"/>
          <w:lang w:val="uk-UA" w:eastAsia="ru-RU"/>
        </w:rPr>
        <w:t>Проблеми  економіки</w:t>
      </w:r>
      <w:r w:rsidRPr="00F718A4">
        <w:rPr>
          <w:rFonts w:ascii="Times New Roman" w:eastAsia="Times New Roman" w:hAnsi="Times New Roman" w:cs="Times New Roman"/>
          <w:sz w:val="28"/>
          <w:szCs w:val="28"/>
          <w:lang w:val="uk-UA" w:eastAsia="ru-RU"/>
        </w:rPr>
        <w:t>.  2024. № 1. С. 64–69.</w:t>
      </w:r>
    </w:p>
    <w:p w14:paraId="03778541"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Люльков </w:t>
      </w:r>
      <w:r w:rsidRPr="003B68B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 xml:space="preserve"> М., Цеслів</w:t>
      </w:r>
      <w:r w:rsidRPr="003B68BF">
        <w:rPr>
          <w:rFonts w:ascii="Times New Roman" w:eastAsia="Times New Roman" w:hAnsi="Times New Roman" w:cs="Times New Roman"/>
          <w:sz w:val="28"/>
          <w:szCs w:val="28"/>
          <w:lang w:val="uk-UA" w:eastAsia="ru-RU"/>
        </w:rPr>
        <w:t xml:space="preserve"> О.</w:t>
      </w:r>
      <w:r>
        <w:rPr>
          <w:rFonts w:ascii="Times New Roman" w:eastAsia="Times New Roman" w:hAnsi="Times New Roman" w:cs="Times New Roman"/>
          <w:sz w:val="28"/>
          <w:szCs w:val="28"/>
          <w:lang w:val="uk-UA" w:eastAsia="ru-RU"/>
        </w:rPr>
        <w:t xml:space="preserve"> </w:t>
      </w:r>
      <w:r w:rsidRPr="003B68BF">
        <w:rPr>
          <w:rFonts w:ascii="Times New Roman" w:eastAsia="Times New Roman" w:hAnsi="Times New Roman" w:cs="Times New Roman"/>
          <w:sz w:val="28"/>
          <w:szCs w:val="28"/>
          <w:lang w:val="uk-UA" w:eastAsia="ru-RU"/>
        </w:rPr>
        <w:t xml:space="preserve">В. Моделювання інвестиційно-інноваційної діяльності підприємства в умовах невизначеності. </w:t>
      </w:r>
      <w:r w:rsidRPr="003B68BF">
        <w:rPr>
          <w:rFonts w:ascii="Times New Roman" w:eastAsia="Times New Roman" w:hAnsi="Times New Roman" w:cs="Times New Roman"/>
          <w:i/>
          <w:sz w:val="28"/>
          <w:szCs w:val="28"/>
          <w:lang w:val="uk-UA" w:eastAsia="ru-RU"/>
        </w:rPr>
        <w:t>Актуальні проблемі економіки і управління. Збірник наукових праць молодих учених ФММ НТУУ «КПІ ім. Ігоря Сікорського».</w:t>
      </w:r>
      <w:r w:rsidRPr="003B68BF">
        <w:rPr>
          <w:rFonts w:ascii="Times New Roman" w:eastAsia="Times New Roman" w:hAnsi="Times New Roman" w:cs="Times New Roman"/>
          <w:sz w:val="28"/>
          <w:szCs w:val="28"/>
          <w:lang w:val="uk-UA" w:eastAsia="ru-RU"/>
        </w:rPr>
        <w:t xml:space="preserve"> 2021. №15. URL: http://ape.fmm.kpi.ua/article/vi</w:t>
      </w:r>
      <w:r>
        <w:rPr>
          <w:rFonts w:ascii="Times New Roman" w:eastAsia="Times New Roman" w:hAnsi="Times New Roman" w:cs="Times New Roman"/>
          <w:sz w:val="28"/>
          <w:szCs w:val="28"/>
          <w:lang w:val="uk-UA" w:eastAsia="ru-RU"/>
        </w:rPr>
        <w:t>ew/217031 (дата звернення: 21.04</w:t>
      </w:r>
      <w:r w:rsidRPr="003B68BF">
        <w:rPr>
          <w:rFonts w:ascii="Times New Roman" w:eastAsia="Times New Roman" w:hAnsi="Times New Roman" w:cs="Times New Roman"/>
          <w:sz w:val="28"/>
          <w:szCs w:val="28"/>
          <w:lang w:val="uk-UA" w:eastAsia="ru-RU"/>
        </w:rPr>
        <w:t>.2025).</w:t>
      </w:r>
    </w:p>
    <w:p w14:paraId="1B3FD26D"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Найчук-Хрущ</w:t>
      </w:r>
      <w:r w:rsidRPr="003B68BF">
        <w:rPr>
          <w:rFonts w:ascii="Times New Roman" w:eastAsia="Times New Roman" w:hAnsi="Times New Roman" w:cs="Times New Roman"/>
          <w:sz w:val="28"/>
          <w:szCs w:val="28"/>
          <w:lang w:val="uk-UA" w:eastAsia="ru-RU"/>
        </w:rPr>
        <w:t xml:space="preserve"> М., Щур, Т. Роль та значення успішного фінансування проєктів для інноваційного розвитку підприємства (на прикладі підприємства будівельної галузі). </w:t>
      </w:r>
      <w:r w:rsidRPr="003B68BF">
        <w:rPr>
          <w:rFonts w:ascii="Times New Roman" w:eastAsia="Times New Roman" w:hAnsi="Times New Roman" w:cs="Times New Roman"/>
          <w:i/>
          <w:sz w:val="28"/>
          <w:szCs w:val="28"/>
          <w:lang w:val="uk-UA" w:eastAsia="ru-RU"/>
        </w:rPr>
        <w:t>Економіка та суспільство</w:t>
      </w:r>
      <w:r w:rsidRPr="003B68BF">
        <w:rPr>
          <w:rFonts w:ascii="Times New Roman" w:eastAsia="Times New Roman" w:hAnsi="Times New Roman" w:cs="Times New Roman"/>
          <w:sz w:val="28"/>
          <w:szCs w:val="28"/>
          <w:lang w:val="uk-UA" w:eastAsia="ru-RU"/>
        </w:rPr>
        <w:t>. 2023. №58.</w:t>
      </w:r>
      <w:r>
        <w:rPr>
          <w:rFonts w:ascii="Times New Roman" w:eastAsia="Times New Roman" w:hAnsi="Times New Roman" w:cs="Times New Roman"/>
          <w:sz w:val="28"/>
          <w:szCs w:val="28"/>
          <w:lang w:val="uk-UA" w:eastAsia="ru-RU"/>
        </w:rPr>
        <w:t xml:space="preserve"> </w:t>
      </w:r>
      <w:r w:rsidRPr="003B68BF">
        <w:rPr>
          <w:rFonts w:ascii="Times New Roman" w:eastAsia="Times New Roman" w:hAnsi="Times New Roman" w:cs="Times New Roman"/>
          <w:sz w:val="28"/>
          <w:szCs w:val="28"/>
          <w:lang w:val="uk-UA" w:eastAsia="ru-RU"/>
        </w:rPr>
        <w:t xml:space="preserve"> </w:t>
      </w:r>
      <w:hyperlink r:id="rId24" w:history="1">
        <w:r w:rsidRPr="000362C8">
          <w:rPr>
            <w:rStyle w:val="a5"/>
            <w:rFonts w:ascii="Times New Roman" w:eastAsia="Times New Roman" w:hAnsi="Times New Roman" w:cs="Times New Roman"/>
            <w:sz w:val="28"/>
            <w:szCs w:val="28"/>
            <w:lang w:val="uk-UA" w:eastAsia="ru-RU"/>
          </w:rPr>
          <w:t>URL:https://doi.org/10.32782/2524-0072/2023-58-88</w:t>
        </w:r>
      </w:hyperlink>
      <w:r w:rsidRPr="003B68B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(дата звернення: 23</w:t>
      </w:r>
      <w:r w:rsidRPr="003B68BF">
        <w:rPr>
          <w:rFonts w:ascii="Times New Roman" w:eastAsia="Times New Roman" w:hAnsi="Times New Roman" w:cs="Times New Roman"/>
          <w:sz w:val="28"/>
          <w:szCs w:val="28"/>
          <w:lang w:val="uk-UA" w:eastAsia="ru-RU"/>
        </w:rPr>
        <w:t>.04.2025).</w:t>
      </w:r>
    </w:p>
    <w:p w14:paraId="7A7861D5"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3B68BF">
        <w:rPr>
          <w:rFonts w:ascii="Times New Roman" w:eastAsia="Times New Roman" w:hAnsi="Times New Roman" w:cs="Times New Roman"/>
          <w:sz w:val="28"/>
          <w:szCs w:val="28"/>
          <w:lang w:val="uk-UA" w:eastAsia="ru-RU"/>
        </w:rPr>
        <w:t xml:space="preserve">Павловський С., Мельник Н., Косяк, О. Теоретичні аспекти інноваційного проекту: сутність та етапи розробки. </w:t>
      </w:r>
      <w:r w:rsidRPr="003B68BF">
        <w:rPr>
          <w:rFonts w:ascii="Times New Roman" w:eastAsia="Times New Roman" w:hAnsi="Times New Roman" w:cs="Times New Roman"/>
          <w:i/>
          <w:sz w:val="28"/>
          <w:szCs w:val="28"/>
          <w:lang w:val="uk-UA" w:eastAsia="ru-RU"/>
        </w:rPr>
        <w:t xml:space="preserve">Київський економічний науковий журнал. </w:t>
      </w:r>
      <w:r w:rsidRPr="003B68BF">
        <w:rPr>
          <w:rFonts w:ascii="Times New Roman" w:eastAsia="Times New Roman" w:hAnsi="Times New Roman" w:cs="Times New Roman"/>
          <w:sz w:val="28"/>
          <w:szCs w:val="28"/>
          <w:lang w:val="uk-UA" w:eastAsia="ru-RU"/>
        </w:rPr>
        <w:t xml:space="preserve">2023. №2. С. 34-42. </w:t>
      </w:r>
    </w:p>
    <w:p w14:paraId="774E1818"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Полозова Т. В. Організаційно-економі</w:t>
      </w:r>
      <w:r>
        <w:rPr>
          <w:rFonts w:ascii="Times New Roman" w:eastAsia="Times New Roman" w:hAnsi="Times New Roman" w:cs="Times New Roman"/>
          <w:sz w:val="28"/>
          <w:szCs w:val="28"/>
          <w:lang w:val="uk-UA" w:eastAsia="ru-RU"/>
        </w:rPr>
        <w:t>чний механізм управління іннова</w:t>
      </w:r>
      <w:r w:rsidRPr="000F13FC">
        <w:rPr>
          <w:rFonts w:ascii="Times New Roman" w:eastAsia="Times New Roman" w:hAnsi="Times New Roman" w:cs="Times New Roman"/>
          <w:sz w:val="28"/>
          <w:szCs w:val="28"/>
          <w:lang w:val="uk-UA" w:eastAsia="ru-RU"/>
        </w:rPr>
        <w:t>ційно-інвестиц</w:t>
      </w:r>
      <w:r>
        <w:rPr>
          <w:rFonts w:ascii="Times New Roman" w:eastAsia="Times New Roman" w:hAnsi="Times New Roman" w:cs="Times New Roman"/>
          <w:sz w:val="28"/>
          <w:szCs w:val="28"/>
          <w:lang w:val="uk-UA" w:eastAsia="ru-RU"/>
        </w:rPr>
        <w:t xml:space="preserve">ійною спроможністю підприємства. </w:t>
      </w:r>
      <w:r w:rsidRPr="000F13FC">
        <w:rPr>
          <w:rFonts w:ascii="Times New Roman" w:eastAsia="Times New Roman" w:hAnsi="Times New Roman" w:cs="Times New Roman"/>
          <w:i/>
          <w:sz w:val="28"/>
          <w:szCs w:val="28"/>
          <w:lang w:val="uk-UA" w:eastAsia="ru-RU"/>
        </w:rPr>
        <w:t xml:space="preserve">Науковий вісник Міжнародного гуманітарного університету. Серія «Економіка».  </w:t>
      </w:r>
      <w:r>
        <w:rPr>
          <w:rFonts w:ascii="Times New Roman" w:eastAsia="Times New Roman" w:hAnsi="Times New Roman" w:cs="Times New Roman"/>
          <w:sz w:val="28"/>
          <w:szCs w:val="28"/>
          <w:lang w:val="uk-UA" w:eastAsia="ru-RU"/>
        </w:rPr>
        <w:t xml:space="preserve">2017.  Вип. 23. </w:t>
      </w:r>
      <w:r w:rsidRPr="000F13FC">
        <w:rPr>
          <w:rFonts w:ascii="Times New Roman" w:eastAsia="Times New Roman" w:hAnsi="Times New Roman" w:cs="Times New Roman"/>
          <w:sz w:val="28"/>
          <w:szCs w:val="28"/>
          <w:lang w:val="uk-UA" w:eastAsia="ru-RU"/>
        </w:rPr>
        <w:t xml:space="preserve"> С. 126-131.</w:t>
      </w:r>
    </w:p>
    <w:p w14:paraId="09FF4A55" w14:textId="77777777" w:rsidR="00F91F75" w:rsidRP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91F75">
        <w:rPr>
          <w:rFonts w:ascii="Times New Roman" w:eastAsia="Times New Roman" w:hAnsi="Times New Roman" w:cs="Times New Roman"/>
          <w:sz w:val="28"/>
          <w:szCs w:val="28"/>
          <w:lang w:val="uk-UA" w:eastAsia="ru-RU"/>
        </w:rPr>
        <w:t>Про інноваційну діяльність: Закон України від 04.07.2002 № 40-IV</w:t>
      </w:r>
      <w:r>
        <w:rPr>
          <w:rFonts w:ascii="Times New Roman" w:eastAsia="Times New Roman" w:hAnsi="Times New Roman" w:cs="Times New Roman"/>
          <w:sz w:val="28"/>
          <w:szCs w:val="28"/>
          <w:lang w:val="uk-UA" w:eastAsia="ru-RU"/>
        </w:rPr>
        <w:t xml:space="preserve"> </w:t>
      </w:r>
      <w:r w:rsidRPr="00F91F75">
        <w:rPr>
          <w:rFonts w:ascii="Times New Roman" w:eastAsia="Times New Roman" w:hAnsi="Times New Roman" w:cs="Times New Roman"/>
          <w:sz w:val="28"/>
          <w:szCs w:val="28"/>
          <w:lang w:val="uk-UA" w:eastAsia="ru-RU"/>
        </w:rPr>
        <w:t xml:space="preserve">URL: </w:t>
      </w:r>
      <w:hyperlink r:id="rId25" w:anchor="Text" w:history="1">
        <w:r w:rsidRPr="000362C8">
          <w:rPr>
            <w:rStyle w:val="a5"/>
            <w:rFonts w:ascii="Times New Roman" w:eastAsia="Times New Roman" w:hAnsi="Times New Roman" w:cs="Times New Roman"/>
            <w:sz w:val="28"/>
            <w:szCs w:val="28"/>
            <w:lang w:val="uk-UA" w:eastAsia="ru-RU"/>
          </w:rPr>
          <w:t>https://zakon.rada.gov.ua/laws/show/40-15#Text</w:t>
        </w:r>
      </w:hyperlink>
      <w:r>
        <w:rPr>
          <w:rFonts w:ascii="Times New Roman" w:eastAsia="Times New Roman" w:hAnsi="Times New Roman" w:cs="Times New Roman"/>
          <w:sz w:val="28"/>
          <w:szCs w:val="28"/>
          <w:lang w:val="uk-UA" w:eastAsia="ru-RU"/>
        </w:rPr>
        <w:t xml:space="preserve"> </w:t>
      </w:r>
      <w:r w:rsidRPr="00F91F75">
        <w:rPr>
          <w:rFonts w:ascii="Times New Roman" w:eastAsia="Times New Roman" w:hAnsi="Times New Roman" w:cs="Times New Roman"/>
          <w:sz w:val="28"/>
          <w:szCs w:val="28"/>
          <w:lang w:val="uk-UA" w:eastAsia="ru-RU"/>
        </w:rPr>
        <w:t>(дата звернення: 23.04.2025)</w:t>
      </w:r>
    </w:p>
    <w:p w14:paraId="21D34ADD"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Пушкар О. І., Татаринцева  Ю. П., Макаренко А. Б., Пастушенко</w:t>
      </w:r>
      <w:r w:rsidRPr="003B68BF">
        <w:rPr>
          <w:rFonts w:ascii="Times New Roman" w:eastAsia="Times New Roman" w:hAnsi="Times New Roman" w:cs="Times New Roman"/>
          <w:sz w:val="28"/>
          <w:szCs w:val="28"/>
          <w:lang w:val="uk-UA" w:eastAsia="ru-RU"/>
        </w:rPr>
        <w:t xml:space="preserve"> О. Б. Модель фінансування інноваційного проекту у високотехнологічному бізнесі (на прикладі гейм-індустрії). </w:t>
      </w:r>
      <w:r w:rsidRPr="00F91F75">
        <w:rPr>
          <w:rFonts w:ascii="Times New Roman" w:eastAsia="Times New Roman" w:hAnsi="Times New Roman" w:cs="Times New Roman"/>
          <w:i/>
          <w:sz w:val="28"/>
          <w:szCs w:val="28"/>
          <w:lang w:val="uk-UA" w:eastAsia="ru-RU"/>
        </w:rPr>
        <w:t>Інноваційна економіка.</w:t>
      </w:r>
      <w:r w:rsidRPr="003B68BF">
        <w:rPr>
          <w:rFonts w:ascii="Times New Roman" w:eastAsia="Times New Roman" w:hAnsi="Times New Roman" w:cs="Times New Roman"/>
          <w:sz w:val="28"/>
          <w:szCs w:val="28"/>
          <w:lang w:val="uk-UA" w:eastAsia="ru-RU"/>
        </w:rPr>
        <w:t xml:space="preserve"> 2021. №5-6. С. 117-122. </w:t>
      </w:r>
    </w:p>
    <w:p w14:paraId="41EBCBAA"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Романюк</w:t>
      </w:r>
      <w:r w:rsidRPr="003B68BF">
        <w:rPr>
          <w:rFonts w:ascii="Times New Roman" w:eastAsia="Times New Roman" w:hAnsi="Times New Roman" w:cs="Times New Roman"/>
          <w:sz w:val="28"/>
          <w:szCs w:val="28"/>
          <w:lang w:val="uk-UA" w:eastAsia="ru-RU"/>
        </w:rPr>
        <w:t xml:space="preserve"> І.</w:t>
      </w:r>
      <w:r>
        <w:rPr>
          <w:rFonts w:ascii="Times New Roman" w:eastAsia="Times New Roman" w:hAnsi="Times New Roman" w:cs="Times New Roman"/>
          <w:sz w:val="28"/>
          <w:szCs w:val="28"/>
          <w:lang w:val="uk-UA" w:eastAsia="ru-RU"/>
        </w:rPr>
        <w:t xml:space="preserve"> А., Гаврилюк</w:t>
      </w:r>
      <w:r w:rsidRPr="003B68BF">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 xml:space="preserve"> </w:t>
      </w:r>
      <w:r w:rsidRPr="003B68BF">
        <w:rPr>
          <w:rFonts w:ascii="Times New Roman" w:eastAsia="Times New Roman" w:hAnsi="Times New Roman" w:cs="Times New Roman"/>
          <w:sz w:val="28"/>
          <w:szCs w:val="28"/>
          <w:lang w:val="uk-UA" w:eastAsia="ru-RU"/>
        </w:rPr>
        <w:t xml:space="preserve">В. Моделі фінансування інноваційних проєктів у сучасному бізнес-середовищі. </w:t>
      </w:r>
      <w:r w:rsidRPr="003B68BF">
        <w:rPr>
          <w:rFonts w:ascii="Times New Roman" w:eastAsia="Times New Roman" w:hAnsi="Times New Roman" w:cs="Times New Roman"/>
          <w:i/>
          <w:sz w:val="28"/>
          <w:szCs w:val="28"/>
          <w:lang w:val="uk-UA" w:eastAsia="ru-RU"/>
        </w:rPr>
        <w:t>Інвестиції: практика та досвід.</w:t>
      </w:r>
      <w:r w:rsidRPr="003B68BF">
        <w:rPr>
          <w:rFonts w:ascii="Times New Roman" w:eastAsia="Times New Roman" w:hAnsi="Times New Roman" w:cs="Times New Roman"/>
          <w:sz w:val="28"/>
          <w:szCs w:val="28"/>
          <w:lang w:val="uk-UA" w:eastAsia="ru-RU"/>
        </w:rPr>
        <w:t xml:space="preserve"> 2024. №12. С. 66-71. </w:t>
      </w:r>
    </w:p>
    <w:p w14:paraId="0DF10843" w14:textId="77777777" w:rsidR="00F91F75" w:rsidRPr="003B68BF"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Рущишин</w:t>
      </w:r>
      <w:r w:rsidRPr="003B68BF">
        <w:rPr>
          <w:rFonts w:ascii="Times New Roman" w:eastAsia="Times New Roman" w:hAnsi="Times New Roman" w:cs="Times New Roman"/>
          <w:sz w:val="28"/>
          <w:szCs w:val="28"/>
          <w:lang w:val="uk-UA" w:eastAsia="ru-RU"/>
        </w:rPr>
        <w:t xml:space="preserve"> М. Чинники формування фінансового забезпечення розвитку вітчизняних підприємств на інноваційних засадах. </w:t>
      </w:r>
      <w:r w:rsidRPr="003B68BF">
        <w:rPr>
          <w:rFonts w:ascii="Times New Roman" w:eastAsia="Times New Roman" w:hAnsi="Times New Roman" w:cs="Times New Roman"/>
          <w:i/>
          <w:sz w:val="28"/>
          <w:szCs w:val="28"/>
          <w:lang w:val="uk-UA" w:eastAsia="ru-RU"/>
        </w:rPr>
        <w:t xml:space="preserve">Herald of Khmelnytskyi National University. Economic Sciences. </w:t>
      </w:r>
      <w:r w:rsidRPr="003B68BF">
        <w:rPr>
          <w:rFonts w:ascii="Times New Roman" w:eastAsia="Times New Roman" w:hAnsi="Times New Roman" w:cs="Times New Roman"/>
          <w:sz w:val="28"/>
          <w:szCs w:val="28"/>
          <w:lang w:val="uk-UA" w:eastAsia="ru-RU"/>
        </w:rPr>
        <w:t xml:space="preserve">2023. №318(3). С. 17-23. </w:t>
      </w:r>
    </w:p>
    <w:p w14:paraId="72D69B19"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C02D23">
        <w:rPr>
          <w:rFonts w:ascii="Times New Roman" w:eastAsia="Times New Roman" w:hAnsi="Times New Roman" w:cs="Times New Roman"/>
          <w:sz w:val="28"/>
          <w:szCs w:val="28"/>
          <w:lang w:eastAsia="ru-RU"/>
        </w:rPr>
        <w:t>Степаненко, С. В. Теоретичні аспекти формування механізму інноваційного розвитку підприємства / С</w:t>
      </w:r>
      <w:r>
        <w:rPr>
          <w:rFonts w:ascii="Times New Roman" w:eastAsia="Times New Roman" w:hAnsi="Times New Roman" w:cs="Times New Roman"/>
          <w:sz w:val="28"/>
          <w:szCs w:val="28"/>
          <w:lang w:eastAsia="ru-RU"/>
        </w:rPr>
        <w:t>. В. Степаненко, Д. А. Петренко</w:t>
      </w:r>
      <w:r>
        <w:rPr>
          <w:rFonts w:ascii="Times New Roman" w:eastAsia="Times New Roman" w:hAnsi="Times New Roman" w:cs="Times New Roman"/>
          <w:sz w:val="28"/>
          <w:szCs w:val="28"/>
          <w:lang w:val="uk-UA" w:eastAsia="ru-RU"/>
        </w:rPr>
        <w:t xml:space="preserve">. </w:t>
      </w:r>
      <w:r w:rsidRPr="000F13FC">
        <w:rPr>
          <w:rFonts w:ascii="Times New Roman" w:eastAsia="Times New Roman" w:hAnsi="Times New Roman" w:cs="Times New Roman"/>
          <w:i/>
          <w:sz w:val="28"/>
          <w:szCs w:val="28"/>
          <w:lang w:eastAsia="ru-RU"/>
        </w:rPr>
        <w:t>Науковий вісник Полісся</w:t>
      </w:r>
      <w:r>
        <w:rPr>
          <w:rFonts w:ascii="Times New Roman" w:eastAsia="Times New Roman" w:hAnsi="Times New Roman" w:cs="Times New Roman"/>
          <w:sz w:val="28"/>
          <w:szCs w:val="28"/>
          <w:lang w:eastAsia="ru-RU"/>
        </w:rPr>
        <w:t xml:space="preserve">.  2024. </w:t>
      </w:r>
      <w:r w:rsidRPr="00C02D23">
        <w:rPr>
          <w:rFonts w:ascii="Times New Roman" w:eastAsia="Times New Roman" w:hAnsi="Times New Roman" w:cs="Times New Roman"/>
          <w:sz w:val="28"/>
          <w:szCs w:val="28"/>
          <w:lang w:eastAsia="ru-RU"/>
        </w:rPr>
        <w:t>№ 2 (</w:t>
      </w:r>
      <w:r>
        <w:rPr>
          <w:rFonts w:ascii="Times New Roman" w:eastAsia="Times New Roman" w:hAnsi="Times New Roman" w:cs="Times New Roman"/>
          <w:sz w:val="28"/>
          <w:szCs w:val="28"/>
          <w:lang w:eastAsia="ru-RU"/>
        </w:rPr>
        <w:t xml:space="preserve">29). </w:t>
      </w:r>
      <w:r w:rsidRPr="00C02D23">
        <w:rPr>
          <w:rFonts w:ascii="Times New Roman" w:eastAsia="Times New Roman" w:hAnsi="Times New Roman" w:cs="Times New Roman"/>
          <w:sz w:val="28"/>
          <w:szCs w:val="28"/>
          <w:lang w:eastAsia="ru-RU"/>
        </w:rPr>
        <w:t xml:space="preserve"> С. 257-268.</w:t>
      </w:r>
    </w:p>
    <w:p w14:paraId="2E090718"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91F75">
        <w:rPr>
          <w:rFonts w:ascii="Times New Roman" w:eastAsia="Times New Roman" w:hAnsi="Times New Roman" w:cs="Times New Roman"/>
          <w:sz w:val="28"/>
          <w:szCs w:val="28"/>
          <w:lang w:eastAsia="ru-RU"/>
        </w:rPr>
        <w:t>Столярчук Я., Ільницький Д., РудьковскийС.. Зелене інвестування як механізм глобального сталого розвитку. В</w:t>
      </w:r>
      <w:r w:rsidRPr="00F91F75">
        <w:rPr>
          <w:rFonts w:ascii="Times New Roman" w:eastAsia="Times New Roman" w:hAnsi="Times New Roman" w:cs="Times New Roman"/>
          <w:i/>
          <w:sz w:val="28"/>
          <w:szCs w:val="28"/>
          <w:lang w:eastAsia="ru-RU"/>
        </w:rPr>
        <w:t>існик Хмельницького національного університету.</w:t>
      </w:r>
      <w:r>
        <w:rPr>
          <w:rFonts w:ascii="Times New Roman" w:eastAsia="Times New Roman" w:hAnsi="Times New Roman" w:cs="Times New Roman"/>
          <w:sz w:val="28"/>
          <w:szCs w:val="28"/>
          <w:lang w:eastAsia="ru-RU"/>
        </w:rPr>
        <w:t xml:space="preserve"> 2023. </w:t>
      </w:r>
      <w:r>
        <w:rPr>
          <w:rFonts w:ascii="Times New Roman" w:eastAsia="Times New Roman" w:hAnsi="Times New Roman" w:cs="Times New Roman"/>
          <w:sz w:val="28"/>
          <w:szCs w:val="28"/>
          <w:lang w:val="uk-UA" w:eastAsia="ru-RU"/>
        </w:rPr>
        <w:t>№</w:t>
      </w:r>
      <w:r w:rsidRPr="00F91F75">
        <w:rPr>
          <w:rFonts w:ascii="Times New Roman" w:eastAsia="Times New Roman" w:hAnsi="Times New Roman" w:cs="Times New Roman"/>
          <w:sz w:val="28"/>
          <w:szCs w:val="28"/>
          <w:lang w:eastAsia="ru-RU"/>
        </w:rPr>
        <w:t>. 2. С. 241-246.</w:t>
      </w:r>
    </w:p>
    <w:p w14:paraId="2B61E4AF" w14:textId="77777777" w:rsidR="00F91F75" w:rsidRPr="00F718A4"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718A4">
        <w:rPr>
          <w:rFonts w:ascii="Times New Roman" w:eastAsia="Times New Roman" w:hAnsi="Times New Roman" w:cs="Times New Roman"/>
          <w:sz w:val="28"/>
          <w:szCs w:val="28"/>
          <w:lang w:val="uk-UA" w:eastAsia="ru-RU"/>
        </w:rPr>
        <w:t xml:space="preserve">Тітенко  З. М.,   Долженко  І. І.   Фінансовий  механізм стимулюванняінноваційної  діяльності  аграрних  суб’єктів  господарювання в  Україні. </w:t>
      </w:r>
      <w:r w:rsidRPr="00F718A4">
        <w:rPr>
          <w:rFonts w:ascii="Times New Roman" w:eastAsia="Times New Roman" w:hAnsi="Times New Roman" w:cs="Times New Roman"/>
          <w:i/>
          <w:sz w:val="28"/>
          <w:szCs w:val="28"/>
          <w:lang w:val="uk-UA" w:eastAsia="ru-RU"/>
        </w:rPr>
        <w:t>Економіка   та   суспільство</w:t>
      </w:r>
      <w:r w:rsidRPr="00F718A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718A4">
        <w:rPr>
          <w:rFonts w:ascii="Times New Roman" w:eastAsia="Times New Roman" w:hAnsi="Times New Roman" w:cs="Times New Roman"/>
          <w:sz w:val="28"/>
          <w:szCs w:val="28"/>
          <w:lang w:val="uk-UA" w:eastAsia="ru-RU"/>
        </w:rPr>
        <w:t>2024.</w:t>
      </w:r>
      <w:r>
        <w:rPr>
          <w:rFonts w:ascii="Times New Roman" w:eastAsia="Times New Roman" w:hAnsi="Times New Roman" w:cs="Times New Roman"/>
          <w:sz w:val="28"/>
          <w:szCs w:val="28"/>
          <w:lang w:val="uk-UA" w:eastAsia="ru-RU"/>
        </w:rPr>
        <w:t xml:space="preserve"> </w:t>
      </w:r>
      <w:r w:rsidRPr="00F718A4">
        <w:rPr>
          <w:rFonts w:ascii="Times New Roman" w:eastAsia="Times New Roman" w:hAnsi="Times New Roman" w:cs="Times New Roman"/>
          <w:sz w:val="28"/>
          <w:szCs w:val="28"/>
          <w:lang w:val="uk-UA" w:eastAsia="ru-RU"/>
        </w:rPr>
        <w:t>Випуск        67.</w:t>
      </w:r>
      <w:r>
        <w:rPr>
          <w:rFonts w:ascii="Times New Roman" w:eastAsia="Times New Roman" w:hAnsi="Times New Roman" w:cs="Times New Roman"/>
          <w:sz w:val="28"/>
          <w:szCs w:val="28"/>
          <w:lang w:val="uk-UA" w:eastAsia="ru-RU"/>
        </w:rPr>
        <w:t xml:space="preserve"> </w:t>
      </w:r>
      <w:r w:rsidRPr="00F718A4">
        <w:rPr>
          <w:rFonts w:ascii="Times New Roman" w:eastAsia="Times New Roman" w:hAnsi="Times New Roman" w:cs="Times New Roman"/>
          <w:sz w:val="28"/>
          <w:szCs w:val="28"/>
          <w:lang w:val="uk-UA" w:eastAsia="ru-RU"/>
        </w:rPr>
        <w:t>URL:</w:t>
      </w:r>
      <w:r>
        <w:rPr>
          <w:rFonts w:ascii="Times New Roman" w:eastAsia="Times New Roman" w:hAnsi="Times New Roman" w:cs="Times New Roman"/>
          <w:sz w:val="28"/>
          <w:szCs w:val="28"/>
          <w:lang w:val="uk-UA" w:eastAsia="ru-RU"/>
        </w:rPr>
        <w:t xml:space="preserve"> </w:t>
      </w:r>
      <w:r w:rsidRPr="00F718A4">
        <w:rPr>
          <w:rFonts w:ascii="Times New Roman" w:eastAsia="Times New Roman" w:hAnsi="Times New Roman" w:cs="Times New Roman"/>
          <w:sz w:val="28"/>
          <w:szCs w:val="28"/>
          <w:lang w:val="uk-UA" w:eastAsia="ru-RU"/>
        </w:rPr>
        <w:t>https://economyandsociety.in.ua/index.php/journal/article/view/4835/4775 (Дата звернення: 31.03.2025)</w:t>
      </w:r>
    </w:p>
    <w:p w14:paraId="658ED38E" w14:textId="77777777" w:rsidR="00F91F75" w:rsidRPr="000F13FC"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Толстова А. В. Теоретичні аспекти формування механізму інноваційного</w:t>
      </w:r>
      <w:r>
        <w:rPr>
          <w:rFonts w:ascii="Times New Roman" w:eastAsia="Times New Roman" w:hAnsi="Times New Roman" w:cs="Times New Roman"/>
          <w:sz w:val="28"/>
          <w:szCs w:val="28"/>
          <w:lang w:val="uk-UA" w:eastAsia="ru-RU"/>
        </w:rPr>
        <w:t xml:space="preserve"> </w:t>
      </w:r>
      <w:r w:rsidRPr="000F13FC">
        <w:rPr>
          <w:rFonts w:ascii="Times New Roman" w:eastAsia="Times New Roman" w:hAnsi="Times New Roman" w:cs="Times New Roman"/>
          <w:sz w:val="28"/>
          <w:szCs w:val="28"/>
          <w:lang w:val="uk-UA" w:eastAsia="ru-RU"/>
        </w:rPr>
        <w:t>розв</w:t>
      </w:r>
      <w:r>
        <w:rPr>
          <w:rFonts w:ascii="Times New Roman" w:eastAsia="Times New Roman" w:hAnsi="Times New Roman" w:cs="Times New Roman"/>
          <w:sz w:val="28"/>
          <w:szCs w:val="28"/>
          <w:lang w:val="uk-UA" w:eastAsia="ru-RU"/>
        </w:rPr>
        <w:t xml:space="preserve">итку промислового підприємства. </w:t>
      </w:r>
      <w:r w:rsidRPr="000F13FC">
        <w:rPr>
          <w:rFonts w:ascii="Times New Roman" w:eastAsia="Times New Roman" w:hAnsi="Times New Roman" w:cs="Times New Roman"/>
          <w:i/>
          <w:sz w:val="28"/>
          <w:szCs w:val="28"/>
          <w:lang w:val="uk-UA" w:eastAsia="ru-RU"/>
        </w:rPr>
        <w:t>Науковий вісник Міжнародного гуманітарного університету. Серія: «Економіка і менеджмент»</w:t>
      </w:r>
      <w:r>
        <w:rPr>
          <w:rFonts w:ascii="Times New Roman" w:eastAsia="Times New Roman" w:hAnsi="Times New Roman" w:cs="Times New Roman"/>
          <w:sz w:val="28"/>
          <w:szCs w:val="28"/>
          <w:lang w:val="uk-UA" w:eastAsia="ru-RU"/>
        </w:rPr>
        <w:t xml:space="preserve">.  2016.  № 21. </w:t>
      </w:r>
      <w:r w:rsidRPr="000F13FC">
        <w:rPr>
          <w:rFonts w:ascii="Times New Roman" w:eastAsia="Times New Roman" w:hAnsi="Times New Roman" w:cs="Times New Roman"/>
          <w:sz w:val="28"/>
          <w:szCs w:val="28"/>
          <w:lang w:val="uk-UA" w:eastAsia="ru-RU"/>
        </w:rPr>
        <w:t xml:space="preserve"> С.106-109. </w:t>
      </w:r>
    </w:p>
    <w:p w14:paraId="3356E174"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0F13FC">
        <w:rPr>
          <w:rFonts w:ascii="Times New Roman" w:eastAsia="Times New Roman" w:hAnsi="Times New Roman" w:cs="Times New Roman"/>
          <w:sz w:val="28"/>
          <w:szCs w:val="28"/>
          <w:lang w:val="uk-UA" w:eastAsia="ru-RU"/>
        </w:rPr>
        <w:t>Хоменко І. О. Організаційно-економічни</w:t>
      </w:r>
      <w:r>
        <w:rPr>
          <w:rFonts w:ascii="Times New Roman" w:eastAsia="Times New Roman" w:hAnsi="Times New Roman" w:cs="Times New Roman"/>
          <w:sz w:val="28"/>
          <w:szCs w:val="28"/>
          <w:lang w:val="uk-UA" w:eastAsia="ru-RU"/>
        </w:rPr>
        <w:t>й механізм функціонування і роз</w:t>
      </w:r>
      <w:r w:rsidRPr="000F13FC">
        <w:rPr>
          <w:rFonts w:ascii="Times New Roman" w:eastAsia="Times New Roman" w:hAnsi="Times New Roman" w:cs="Times New Roman"/>
          <w:sz w:val="28"/>
          <w:szCs w:val="28"/>
          <w:lang w:val="uk-UA" w:eastAsia="ru-RU"/>
        </w:rPr>
        <w:t>витку підприємств / І. О. Хоменко, Л. М.</w:t>
      </w:r>
      <w:r>
        <w:rPr>
          <w:rFonts w:ascii="Times New Roman" w:eastAsia="Times New Roman" w:hAnsi="Times New Roman" w:cs="Times New Roman"/>
          <w:sz w:val="28"/>
          <w:szCs w:val="28"/>
          <w:lang w:val="uk-UA" w:eastAsia="ru-RU"/>
        </w:rPr>
        <w:t xml:space="preserve"> Волинець, І. В. Горобінська. </w:t>
      </w:r>
      <w:r w:rsidRPr="000F13FC">
        <w:rPr>
          <w:rFonts w:ascii="Times New Roman" w:eastAsia="Times New Roman" w:hAnsi="Times New Roman" w:cs="Times New Roman"/>
          <w:i/>
          <w:sz w:val="28"/>
          <w:szCs w:val="28"/>
          <w:lang w:val="uk-UA" w:eastAsia="ru-RU"/>
        </w:rPr>
        <w:t>Київський економічний науковий журнал</w:t>
      </w:r>
      <w:r>
        <w:rPr>
          <w:rFonts w:ascii="Times New Roman" w:eastAsia="Times New Roman" w:hAnsi="Times New Roman" w:cs="Times New Roman"/>
          <w:sz w:val="28"/>
          <w:szCs w:val="28"/>
          <w:lang w:val="uk-UA" w:eastAsia="ru-RU"/>
        </w:rPr>
        <w:t xml:space="preserve">.  2023.  № 1. </w:t>
      </w:r>
      <w:r w:rsidRPr="000F13FC">
        <w:rPr>
          <w:rFonts w:ascii="Times New Roman" w:eastAsia="Times New Roman" w:hAnsi="Times New Roman" w:cs="Times New Roman"/>
          <w:sz w:val="28"/>
          <w:szCs w:val="28"/>
          <w:lang w:val="uk-UA" w:eastAsia="ru-RU"/>
        </w:rPr>
        <w:t xml:space="preserve"> С. 86-89.</w:t>
      </w:r>
    </w:p>
    <w:p w14:paraId="2713E414" w14:textId="77777777" w:rsidR="00F91F75" w:rsidRDefault="00F91F75" w:rsidP="00F91F75">
      <w:pPr>
        <w:pStyle w:val="a3"/>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F718A4">
        <w:rPr>
          <w:rFonts w:ascii="Times New Roman" w:eastAsia="Times New Roman" w:hAnsi="Times New Roman" w:cs="Times New Roman"/>
          <w:sz w:val="28"/>
          <w:szCs w:val="28"/>
          <w:lang w:val="uk-UA" w:eastAsia="ru-RU"/>
        </w:rPr>
        <w:t xml:space="preserve"> Ярмус С. С., Винниченко О. Л., Секретар І. В., Старецький А. О., Мазник Ю. І., Якубець М.Р. Обліково-аналітичне забезпечення управління інноваційним розвитком підприємства. </w:t>
      </w:r>
      <w:r w:rsidRPr="00F718A4">
        <w:rPr>
          <w:rFonts w:ascii="Times New Roman" w:eastAsia="Times New Roman" w:hAnsi="Times New Roman" w:cs="Times New Roman"/>
          <w:i/>
          <w:sz w:val="28"/>
          <w:szCs w:val="28"/>
          <w:lang w:val="uk-UA" w:eastAsia="ru-RU"/>
        </w:rPr>
        <w:t>Міжнародний науковий журнал «Інтернаука». Серія: Економічні науки</w:t>
      </w:r>
      <w:r w:rsidRPr="00F718A4">
        <w:rPr>
          <w:rFonts w:ascii="Times New Roman" w:eastAsia="Times New Roman" w:hAnsi="Times New Roman" w:cs="Times New Roman"/>
          <w:sz w:val="28"/>
          <w:szCs w:val="28"/>
          <w:lang w:val="uk-UA" w:eastAsia="ru-RU"/>
        </w:rPr>
        <w:t xml:space="preserve"> . 2023. No 12(1). С. 183-192.</w:t>
      </w:r>
    </w:p>
    <w:p w14:paraId="41218AF0" w14:textId="77777777" w:rsidR="00143059" w:rsidRPr="00143059" w:rsidRDefault="00143059" w:rsidP="00143059">
      <w:pPr>
        <w:spacing w:after="0" w:line="360" w:lineRule="auto"/>
        <w:jc w:val="both"/>
        <w:rPr>
          <w:rFonts w:ascii="Arial" w:eastAsia="Times New Roman" w:hAnsi="Arial" w:cs="Arial"/>
          <w:sz w:val="25"/>
          <w:szCs w:val="25"/>
          <w:lang w:val="uk-UA" w:eastAsia="ru-RU"/>
        </w:rPr>
      </w:pPr>
    </w:p>
    <w:p w14:paraId="3BFE02EB" w14:textId="77777777" w:rsidR="00C02D23" w:rsidRPr="000B236B" w:rsidRDefault="00C02D23" w:rsidP="00A03D86">
      <w:pPr>
        <w:rPr>
          <w:rFonts w:ascii="Times New Roman" w:hAnsi="Times New Roman" w:cs="Times New Roman"/>
          <w:sz w:val="28"/>
          <w:szCs w:val="28"/>
          <w:lang w:val="uk-UA"/>
        </w:rPr>
      </w:pPr>
    </w:p>
    <w:sectPr w:rsidR="00C02D23" w:rsidRPr="000B23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9FE96" w14:textId="77777777" w:rsidR="003D4138" w:rsidRDefault="003D4138" w:rsidP="008B0776">
      <w:pPr>
        <w:spacing w:after="0" w:line="240" w:lineRule="auto"/>
      </w:pPr>
      <w:r>
        <w:separator/>
      </w:r>
    </w:p>
  </w:endnote>
  <w:endnote w:type="continuationSeparator" w:id="0">
    <w:p w14:paraId="13C815B5" w14:textId="77777777" w:rsidR="003D4138" w:rsidRDefault="003D4138" w:rsidP="008B0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5E5BA" w14:textId="77777777" w:rsidR="003D4138" w:rsidRDefault="003D4138" w:rsidP="008B0776">
      <w:pPr>
        <w:spacing w:after="0" w:line="240" w:lineRule="auto"/>
      </w:pPr>
      <w:r>
        <w:separator/>
      </w:r>
    </w:p>
  </w:footnote>
  <w:footnote w:type="continuationSeparator" w:id="0">
    <w:p w14:paraId="6E7B1FDA" w14:textId="77777777" w:rsidR="003D4138" w:rsidRDefault="003D4138" w:rsidP="008B0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3257586"/>
      <w:docPartObj>
        <w:docPartGallery w:val="Page Numbers (Top of Page)"/>
        <w:docPartUnique/>
      </w:docPartObj>
    </w:sdtPr>
    <w:sdtEndPr/>
    <w:sdtContent>
      <w:p w14:paraId="27C6E03C" w14:textId="77777777" w:rsidR="008B0776" w:rsidRDefault="008B0776">
        <w:pPr>
          <w:pStyle w:val="a9"/>
          <w:jc w:val="right"/>
        </w:pPr>
        <w:r>
          <w:fldChar w:fldCharType="begin"/>
        </w:r>
        <w:r>
          <w:instrText>PAGE   \* MERGEFORMAT</w:instrText>
        </w:r>
        <w:r>
          <w:fldChar w:fldCharType="separate"/>
        </w:r>
        <w:r w:rsidR="00F05235">
          <w:rPr>
            <w:noProof/>
          </w:rPr>
          <w:t>25</w:t>
        </w:r>
        <w:r>
          <w:fldChar w:fldCharType="end"/>
        </w:r>
      </w:p>
    </w:sdtContent>
  </w:sdt>
  <w:p w14:paraId="1395304C" w14:textId="77777777" w:rsidR="008B0776" w:rsidRDefault="008B077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D2012"/>
    <w:multiLevelType w:val="multilevel"/>
    <w:tmpl w:val="1C64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007CC"/>
    <w:multiLevelType w:val="multilevel"/>
    <w:tmpl w:val="94D4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450C0"/>
    <w:multiLevelType w:val="multilevel"/>
    <w:tmpl w:val="3440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A3A86"/>
    <w:multiLevelType w:val="multilevel"/>
    <w:tmpl w:val="B708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21DA2"/>
    <w:multiLevelType w:val="multilevel"/>
    <w:tmpl w:val="1D1E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2468F"/>
    <w:multiLevelType w:val="multilevel"/>
    <w:tmpl w:val="4E8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E6CDF"/>
    <w:multiLevelType w:val="multilevel"/>
    <w:tmpl w:val="DE085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957257"/>
    <w:multiLevelType w:val="multilevel"/>
    <w:tmpl w:val="7F1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E76FC"/>
    <w:multiLevelType w:val="multilevel"/>
    <w:tmpl w:val="F042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C18B0"/>
    <w:multiLevelType w:val="hybridMultilevel"/>
    <w:tmpl w:val="A2C4C63C"/>
    <w:lvl w:ilvl="0" w:tplc="7D0461D8">
      <w:start w:val="1"/>
      <w:numFmt w:val="bullet"/>
      <w:lvlText w:val="•"/>
      <w:lvlJc w:val="left"/>
      <w:pPr>
        <w:tabs>
          <w:tab w:val="num" w:pos="720"/>
        </w:tabs>
        <w:ind w:left="720" w:hanging="360"/>
      </w:pPr>
      <w:rPr>
        <w:rFonts w:ascii="Times New Roman" w:hAnsi="Times New Roman" w:hint="default"/>
      </w:rPr>
    </w:lvl>
    <w:lvl w:ilvl="1" w:tplc="037C06F4" w:tentative="1">
      <w:start w:val="1"/>
      <w:numFmt w:val="bullet"/>
      <w:lvlText w:val="•"/>
      <w:lvlJc w:val="left"/>
      <w:pPr>
        <w:tabs>
          <w:tab w:val="num" w:pos="1440"/>
        </w:tabs>
        <w:ind w:left="1440" w:hanging="360"/>
      </w:pPr>
      <w:rPr>
        <w:rFonts w:ascii="Times New Roman" w:hAnsi="Times New Roman" w:hint="default"/>
      </w:rPr>
    </w:lvl>
    <w:lvl w:ilvl="2" w:tplc="137E1C32" w:tentative="1">
      <w:start w:val="1"/>
      <w:numFmt w:val="bullet"/>
      <w:lvlText w:val="•"/>
      <w:lvlJc w:val="left"/>
      <w:pPr>
        <w:tabs>
          <w:tab w:val="num" w:pos="2160"/>
        </w:tabs>
        <w:ind w:left="2160" w:hanging="360"/>
      </w:pPr>
      <w:rPr>
        <w:rFonts w:ascii="Times New Roman" w:hAnsi="Times New Roman" w:hint="default"/>
      </w:rPr>
    </w:lvl>
    <w:lvl w:ilvl="3" w:tplc="F566E3AC" w:tentative="1">
      <w:start w:val="1"/>
      <w:numFmt w:val="bullet"/>
      <w:lvlText w:val="•"/>
      <w:lvlJc w:val="left"/>
      <w:pPr>
        <w:tabs>
          <w:tab w:val="num" w:pos="2880"/>
        </w:tabs>
        <w:ind w:left="2880" w:hanging="360"/>
      </w:pPr>
      <w:rPr>
        <w:rFonts w:ascii="Times New Roman" w:hAnsi="Times New Roman" w:hint="default"/>
      </w:rPr>
    </w:lvl>
    <w:lvl w:ilvl="4" w:tplc="F23454DE" w:tentative="1">
      <w:start w:val="1"/>
      <w:numFmt w:val="bullet"/>
      <w:lvlText w:val="•"/>
      <w:lvlJc w:val="left"/>
      <w:pPr>
        <w:tabs>
          <w:tab w:val="num" w:pos="3600"/>
        </w:tabs>
        <w:ind w:left="3600" w:hanging="360"/>
      </w:pPr>
      <w:rPr>
        <w:rFonts w:ascii="Times New Roman" w:hAnsi="Times New Roman" w:hint="default"/>
      </w:rPr>
    </w:lvl>
    <w:lvl w:ilvl="5" w:tplc="3A3A395A" w:tentative="1">
      <w:start w:val="1"/>
      <w:numFmt w:val="bullet"/>
      <w:lvlText w:val="•"/>
      <w:lvlJc w:val="left"/>
      <w:pPr>
        <w:tabs>
          <w:tab w:val="num" w:pos="4320"/>
        </w:tabs>
        <w:ind w:left="4320" w:hanging="360"/>
      </w:pPr>
      <w:rPr>
        <w:rFonts w:ascii="Times New Roman" w:hAnsi="Times New Roman" w:hint="default"/>
      </w:rPr>
    </w:lvl>
    <w:lvl w:ilvl="6" w:tplc="AE1E52E6" w:tentative="1">
      <w:start w:val="1"/>
      <w:numFmt w:val="bullet"/>
      <w:lvlText w:val="•"/>
      <w:lvlJc w:val="left"/>
      <w:pPr>
        <w:tabs>
          <w:tab w:val="num" w:pos="5040"/>
        </w:tabs>
        <w:ind w:left="5040" w:hanging="360"/>
      </w:pPr>
      <w:rPr>
        <w:rFonts w:ascii="Times New Roman" w:hAnsi="Times New Roman" w:hint="default"/>
      </w:rPr>
    </w:lvl>
    <w:lvl w:ilvl="7" w:tplc="CB68CB7A" w:tentative="1">
      <w:start w:val="1"/>
      <w:numFmt w:val="bullet"/>
      <w:lvlText w:val="•"/>
      <w:lvlJc w:val="left"/>
      <w:pPr>
        <w:tabs>
          <w:tab w:val="num" w:pos="5760"/>
        </w:tabs>
        <w:ind w:left="5760" w:hanging="360"/>
      </w:pPr>
      <w:rPr>
        <w:rFonts w:ascii="Times New Roman" w:hAnsi="Times New Roman" w:hint="default"/>
      </w:rPr>
    </w:lvl>
    <w:lvl w:ilvl="8" w:tplc="C2E670F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AD049DB"/>
    <w:multiLevelType w:val="multilevel"/>
    <w:tmpl w:val="55CE2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5141B5"/>
    <w:multiLevelType w:val="multilevel"/>
    <w:tmpl w:val="ED42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87D77"/>
    <w:multiLevelType w:val="multilevel"/>
    <w:tmpl w:val="1A2C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306D8D"/>
    <w:multiLevelType w:val="multilevel"/>
    <w:tmpl w:val="17D24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BD6E10"/>
    <w:multiLevelType w:val="hybridMultilevel"/>
    <w:tmpl w:val="521A2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E96E8A"/>
    <w:multiLevelType w:val="multilevel"/>
    <w:tmpl w:val="ED90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1A1B6F"/>
    <w:multiLevelType w:val="multilevel"/>
    <w:tmpl w:val="5522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F764B"/>
    <w:multiLevelType w:val="multilevel"/>
    <w:tmpl w:val="FA3A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8"/>
  </w:num>
  <w:num w:numId="4">
    <w:abstractNumId w:val="2"/>
  </w:num>
  <w:num w:numId="5">
    <w:abstractNumId w:val="3"/>
  </w:num>
  <w:num w:numId="6">
    <w:abstractNumId w:val="5"/>
  </w:num>
  <w:num w:numId="7">
    <w:abstractNumId w:val="12"/>
  </w:num>
  <w:num w:numId="8">
    <w:abstractNumId w:val="15"/>
  </w:num>
  <w:num w:numId="9">
    <w:abstractNumId w:val="17"/>
  </w:num>
  <w:num w:numId="10">
    <w:abstractNumId w:val="1"/>
  </w:num>
  <w:num w:numId="11">
    <w:abstractNumId w:val="6"/>
  </w:num>
  <w:num w:numId="12">
    <w:abstractNumId w:val="16"/>
  </w:num>
  <w:num w:numId="13">
    <w:abstractNumId w:val="4"/>
  </w:num>
  <w:num w:numId="14">
    <w:abstractNumId w:val="13"/>
  </w:num>
  <w:num w:numId="15">
    <w:abstractNumId w:val="7"/>
  </w:num>
  <w:num w:numId="16">
    <w:abstractNumId w:val="11"/>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CA1"/>
    <w:rsid w:val="00077448"/>
    <w:rsid w:val="00084E9A"/>
    <w:rsid w:val="000B236B"/>
    <w:rsid w:val="000F13FC"/>
    <w:rsid w:val="00136266"/>
    <w:rsid w:val="00143059"/>
    <w:rsid w:val="001A528C"/>
    <w:rsid w:val="001A67D2"/>
    <w:rsid w:val="00247FB0"/>
    <w:rsid w:val="00273A34"/>
    <w:rsid w:val="00275916"/>
    <w:rsid w:val="0027736E"/>
    <w:rsid w:val="002A4CA1"/>
    <w:rsid w:val="003B68BF"/>
    <w:rsid w:val="003D4138"/>
    <w:rsid w:val="00430D9B"/>
    <w:rsid w:val="0047027F"/>
    <w:rsid w:val="00510E37"/>
    <w:rsid w:val="0051747C"/>
    <w:rsid w:val="00524096"/>
    <w:rsid w:val="00745E7E"/>
    <w:rsid w:val="007853DE"/>
    <w:rsid w:val="008B0776"/>
    <w:rsid w:val="0090044C"/>
    <w:rsid w:val="00934733"/>
    <w:rsid w:val="0095746B"/>
    <w:rsid w:val="00A03D86"/>
    <w:rsid w:val="00A2296A"/>
    <w:rsid w:val="00A74777"/>
    <w:rsid w:val="00A90665"/>
    <w:rsid w:val="00B14A41"/>
    <w:rsid w:val="00BA3556"/>
    <w:rsid w:val="00BA533B"/>
    <w:rsid w:val="00BD68AF"/>
    <w:rsid w:val="00C02D23"/>
    <w:rsid w:val="00C07345"/>
    <w:rsid w:val="00CD794B"/>
    <w:rsid w:val="00D218E8"/>
    <w:rsid w:val="00D44E47"/>
    <w:rsid w:val="00D9030E"/>
    <w:rsid w:val="00E242F7"/>
    <w:rsid w:val="00E412BC"/>
    <w:rsid w:val="00EA00C9"/>
    <w:rsid w:val="00EB485A"/>
    <w:rsid w:val="00F05235"/>
    <w:rsid w:val="00F07EFE"/>
    <w:rsid w:val="00F24710"/>
    <w:rsid w:val="00F81CF9"/>
    <w:rsid w:val="00F91F75"/>
    <w:rsid w:val="00F95B22"/>
    <w:rsid w:val="00FD5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DD9D"/>
  <w15:docId w15:val="{0C8C99F8-773A-45F6-85B9-C2C49E66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30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D23"/>
    <w:pPr>
      <w:ind w:left="720"/>
      <w:contextualSpacing/>
    </w:pPr>
  </w:style>
  <w:style w:type="table" w:styleId="a4">
    <w:name w:val="Table Grid"/>
    <w:basedOn w:val="a1"/>
    <w:uiPriority w:val="59"/>
    <w:rsid w:val="00C02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F13FC"/>
    <w:rPr>
      <w:color w:val="0000FF" w:themeColor="hyperlink"/>
      <w:u w:val="single"/>
    </w:rPr>
  </w:style>
  <w:style w:type="paragraph" w:styleId="a6">
    <w:name w:val="Normal (Web)"/>
    <w:basedOn w:val="a"/>
    <w:uiPriority w:val="99"/>
    <w:semiHidden/>
    <w:unhideWhenUsed/>
    <w:rsid w:val="00F91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73A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A34"/>
    <w:rPr>
      <w:rFonts w:ascii="Tahoma" w:hAnsi="Tahoma" w:cs="Tahoma"/>
      <w:sz w:val="16"/>
      <w:szCs w:val="16"/>
    </w:rPr>
  </w:style>
  <w:style w:type="character" w:customStyle="1" w:styleId="10">
    <w:name w:val="Заголовок 1 Знак"/>
    <w:basedOn w:val="a0"/>
    <w:link w:val="1"/>
    <w:uiPriority w:val="9"/>
    <w:rsid w:val="00143059"/>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8B077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B0776"/>
  </w:style>
  <w:style w:type="paragraph" w:styleId="ab">
    <w:name w:val="footer"/>
    <w:basedOn w:val="a"/>
    <w:link w:val="ac"/>
    <w:uiPriority w:val="99"/>
    <w:unhideWhenUsed/>
    <w:rsid w:val="008B077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B0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3540">
      <w:bodyDiv w:val="1"/>
      <w:marLeft w:val="0"/>
      <w:marRight w:val="0"/>
      <w:marTop w:val="0"/>
      <w:marBottom w:val="0"/>
      <w:divBdr>
        <w:top w:val="none" w:sz="0" w:space="0" w:color="auto"/>
        <w:left w:val="none" w:sz="0" w:space="0" w:color="auto"/>
        <w:bottom w:val="none" w:sz="0" w:space="0" w:color="auto"/>
        <w:right w:val="none" w:sz="0" w:space="0" w:color="auto"/>
      </w:divBdr>
    </w:div>
    <w:div w:id="183787909">
      <w:bodyDiv w:val="1"/>
      <w:marLeft w:val="0"/>
      <w:marRight w:val="0"/>
      <w:marTop w:val="0"/>
      <w:marBottom w:val="0"/>
      <w:divBdr>
        <w:top w:val="none" w:sz="0" w:space="0" w:color="auto"/>
        <w:left w:val="none" w:sz="0" w:space="0" w:color="auto"/>
        <w:bottom w:val="none" w:sz="0" w:space="0" w:color="auto"/>
        <w:right w:val="none" w:sz="0" w:space="0" w:color="auto"/>
      </w:divBdr>
    </w:div>
    <w:div w:id="191304023">
      <w:bodyDiv w:val="1"/>
      <w:marLeft w:val="0"/>
      <w:marRight w:val="0"/>
      <w:marTop w:val="0"/>
      <w:marBottom w:val="0"/>
      <w:divBdr>
        <w:top w:val="none" w:sz="0" w:space="0" w:color="auto"/>
        <w:left w:val="none" w:sz="0" w:space="0" w:color="auto"/>
        <w:bottom w:val="none" w:sz="0" w:space="0" w:color="auto"/>
        <w:right w:val="none" w:sz="0" w:space="0" w:color="auto"/>
      </w:divBdr>
    </w:div>
    <w:div w:id="239560360">
      <w:bodyDiv w:val="1"/>
      <w:marLeft w:val="0"/>
      <w:marRight w:val="0"/>
      <w:marTop w:val="0"/>
      <w:marBottom w:val="0"/>
      <w:divBdr>
        <w:top w:val="none" w:sz="0" w:space="0" w:color="auto"/>
        <w:left w:val="none" w:sz="0" w:space="0" w:color="auto"/>
        <w:bottom w:val="none" w:sz="0" w:space="0" w:color="auto"/>
        <w:right w:val="none" w:sz="0" w:space="0" w:color="auto"/>
      </w:divBdr>
    </w:div>
    <w:div w:id="247734512">
      <w:bodyDiv w:val="1"/>
      <w:marLeft w:val="0"/>
      <w:marRight w:val="0"/>
      <w:marTop w:val="0"/>
      <w:marBottom w:val="0"/>
      <w:divBdr>
        <w:top w:val="none" w:sz="0" w:space="0" w:color="auto"/>
        <w:left w:val="none" w:sz="0" w:space="0" w:color="auto"/>
        <w:bottom w:val="none" w:sz="0" w:space="0" w:color="auto"/>
        <w:right w:val="none" w:sz="0" w:space="0" w:color="auto"/>
      </w:divBdr>
    </w:div>
    <w:div w:id="267615982">
      <w:bodyDiv w:val="1"/>
      <w:marLeft w:val="0"/>
      <w:marRight w:val="0"/>
      <w:marTop w:val="0"/>
      <w:marBottom w:val="0"/>
      <w:divBdr>
        <w:top w:val="none" w:sz="0" w:space="0" w:color="auto"/>
        <w:left w:val="none" w:sz="0" w:space="0" w:color="auto"/>
        <w:bottom w:val="none" w:sz="0" w:space="0" w:color="auto"/>
        <w:right w:val="none" w:sz="0" w:space="0" w:color="auto"/>
      </w:divBdr>
      <w:divsChild>
        <w:div w:id="789670676">
          <w:marLeft w:val="547"/>
          <w:marRight w:val="0"/>
          <w:marTop w:val="0"/>
          <w:marBottom w:val="0"/>
          <w:divBdr>
            <w:top w:val="none" w:sz="0" w:space="0" w:color="auto"/>
            <w:left w:val="none" w:sz="0" w:space="0" w:color="auto"/>
            <w:bottom w:val="none" w:sz="0" w:space="0" w:color="auto"/>
            <w:right w:val="none" w:sz="0" w:space="0" w:color="auto"/>
          </w:divBdr>
        </w:div>
      </w:divsChild>
    </w:div>
    <w:div w:id="274948788">
      <w:bodyDiv w:val="1"/>
      <w:marLeft w:val="0"/>
      <w:marRight w:val="0"/>
      <w:marTop w:val="0"/>
      <w:marBottom w:val="0"/>
      <w:divBdr>
        <w:top w:val="none" w:sz="0" w:space="0" w:color="auto"/>
        <w:left w:val="none" w:sz="0" w:space="0" w:color="auto"/>
        <w:bottom w:val="none" w:sz="0" w:space="0" w:color="auto"/>
        <w:right w:val="none" w:sz="0" w:space="0" w:color="auto"/>
      </w:divBdr>
    </w:div>
    <w:div w:id="417601962">
      <w:bodyDiv w:val="1"/>
      <w:marLeft w:val="0"/>
      <w:marRight w:val="0"/>
      <w:marTop w:val="0"/>
      <w:marBottom w:val="0"/>
      <w:divBdr>
        <w:top w:val="none" w:sz="0" w:space="0" w:color="auto"/>
        <w:left w:val="none" w:sz="0" w:space="0" w:color="auto"/>
        <w:bottom w:val="none" w:sz="0" w:space="0" w:color="auto"/>
        <w:right w:val="none" w:sz="0" w:space="0" w:color="auto"/>
      </w:divBdr>
    </w:div>
    <w:div w:id="456527364">
      <w:bodyDiv w:val="1"/>
      <w:marLeft w:val="0"/>
      <w:marRight w:val="0"/>
      <w:marTop w:val="0"/>
      <w:marBottom w:val="0"/>
      <w:divBdr>
        <w:top w:val="none" w:sz="0" w:space="0" w:color="auto"/>
        <w:left w:val="none" w:sz="0" w:space="0" w:color="auto"/>
        <w:bottom w:val="none" w:sz="0" w:space="0" w:color="auto"/>
        <w:right w:val="none" w:sz="0" w:space="0" w:color="auto"/>
      </w:divBdr>
    </w:div>
    <w:div w:id="552690969">
      <w:bodyDiv w:val="1"/>
      <w:marLeft w:val="0"/>
      <w:marRight w:val="0"/>
      <w:marTop w:val="0"/>
      <w:marBottom w:val="0"/>
      <w:divBdr>
        <w:top w:val="none" w:sz="0" w:space="0" w:color="auto"/>
        <w:left w:val="none" w:sz="0" w:space="0" w:color="auto"/>
        <w:bottom w:val="none" w:sz="0" w:space="0" w:color="auto"/>
        <w:right w:val="none" w:sz="0" w:space="0" w:color="auto"/>
      </w:divBdr>
    </w:div>
    <w:div w:id="555942293">
      <w:bodyDiv w:val="1"/>
      <w:marLeft w:val="0"/>
      <w:marRight w:val="0"/>
      <w:marTop w:val="0"/>
      <w:marBottom w:val="0"/>
      <w:divBdr>
        <w:top w:val="none" w:sz="0" w:space="0" w:color="auto"/>
        <w:left w:val="none" w:sz="0" w:space="0" w:color="auto"/>
        <w:bottom w:val="none" w:sz="0" w:space="0" w:color="auto"/>
        <w:right w:val="none" w:sz="0" w:space="0" w:color="auto"/>
      </w:divBdr>
    </w:div>
    <w:div w:id="564343232">
      <w:bodyDiv w:val="1"/>
      <w:marLeft w:val="0"/>
      <w:marRight w:val="0"/>
      <w:marTop w:val="0"/>
      <w:marBottom w:val="0"/>
      <w:divBdr>
        <w:top w:val="none" w:sz="0" w:space="0" w:color="auto"/>
        <w:left w:val="none" w:sz="0" w:space="0" w:color="auto"/>
        <w:bottom w:val="none" w:sz="0" w:space="0" w:color="auto"/>
        <w:right w:val="none" w:sz="0" w:space="0" w:color="auto"/>
      </w:divBdr>
    </w:div>
    <w:div w:id="932472709">
      <w:bodyDiv w:val="1"/>
      <w:marLeft w:val="0"/>
      <w:marRight w:val="0"/>
      <w:marTop w:val="0"/>
      <w:marBottom w:val="0"/>
      <w:divBdr>
        <w:top w:val="none" w:sz="0" w:space="0" w:color="auto"/>
        <w:left w:val="none" w:sz="0" w:space="0" w:color="auto"/>
        <w:bottom w:val="none" w:sz="0" w:space="0" w:color="auto"/>
        <w:right w:val="none" w:sz="0" w:space="0" w:color="auto"/>
      </w:divBdr>
    </w:div>
    <w:div w:id="990518414">
      <w:bodyDiv w:val="1"/>
      <w:marLeft w:val="0"/>
      <w:marRight w:val="0"/>
      <w:marTop w:val="0"/>
      <w:marBottom w:val="0"/>
      <w:divBdr>
        <w:top w:val="none" w:sz="0" w:space="0" w:color="auto"/>
        <w:left w:val="none" w:sz="0" w:space="0" w:color="auto"/>
        <w:bottom w:val="none" w:sz="0" w:space="0" w:color="auto"/>
        <w:right w:val="none" w:sz="0" w:space="0" w:color="auto"/>
      </w:divBdr>
    </w:div>
    <w:div w:id="1024021514">
      <w:bodyDiv w:val="1"/>
      <w:marLeft w:val="0"/>
      <w:marRight w:val="0"/>
      <w:marTop w:val="0"/>
      <w:marBottom w:val="0"/>
      <w:divBdr>
        <w:top w:val="none" w:sz="0" w:space="0" w:color="auto"/>
        <w:left w:val="none" w:sz="0" w:space="0" w:color="auto"/>
        <w:bottom w:val="none" w:sz="0" w:space="0" w:color="auto"/>
        <w:right w:val="none" w:sz="0" w:space="0" w:color="auto"/>
      </w:divBdr>
    </w:div>
    <w:div w:id="1109396849">
      <w:bodyDiv w:val="1"/>
      <w:marLeft w:val="0"/>
      <w:marRight w:val="0"/>
      <w:marTop w:val="0"/>
      <w:marBottom w:val="0"/>
      <w:divBdr>
        <w:top w:val="none" w:sz="0" w:space="0" w:color="auto"/>
        <w:left w:val="none" w:sz="0" w:space="0" w:color="auto"/>
        <w:bottom w:val="none" w:sz="0" w:space="0" w:color="auto"/>
        <w:right w:val="none" w:sz="0" w:space="0" w:color="auto"/>
      </w:divBdr>
    </w:div>
    <w:div w:id="1214544258">
      <w:bodyDiv w:val="1"/>
      <w:marLeft w:val="0"/>
      <w:marRight w:val="0"/>
      <w:marTop w:val="0"/>
      <w:marBottom w:val="0"/>
      <w:divBdr>
        <w:top w:val="none" w:sz="0" w:space="0" w:color="auto"/>
        <w:left w:val="none" w:sz="0" w:space="0" w:color="auto"/>
        <w:bottom w:val="none" w:sz="0" w:space="0" w:color="auto"/>
        <w:right w:val="none" w:sz="0" w:space="0" w:color="auto"/>
      </w:divBdr>
    </w:div>
    <w:div w:id="1220945540">
      <w:bodyDiv w:val="1"/>
      <w:marLeft w:val="0"/>
      <w:marRight w:val="0"/>
      <w:marTop w:val="0"/>
      <w:marBottom w:val="0"/>
      <w:divBdr>
        <w:top w:val="none" w:sz="0" w:space="0" w:color="auto"/>
        <w:left w:val="none" w:sz="0" w:space="0" w:color="auto"/>
        <w:bottom w:val="none" w:sz="0" w:space="0" w:color="auto"/>
        <w:right w:val="none" w:sz="0" w:space="0" w:color="auto"/>
      </w:divBdr>
    </w:div>
    <w:div w:id="1236210069">
      <w:bodyDiv w:val="1"/>
      <w:marLeft w:val="0"/>
      <w:marRight w:val="0"/>
      <w:marTop w:val="0"/>
      <w:marBottom w:val="0"/>
      <w:divBdr>
        <w:top w:val="none" w:sz="0" w:space="0" w:color="auto"/>
        <w:left w:val="none" w:sz="0" w:space="0" w:color="auto"/>
        <w:bottom w:val="none" w:sz="0" w:space="0" w:color="auto"/>
        <w:right w:val="none" w:sz="0" w:space="0" w:color="auto"/>
      </w:divBdr>
    </w:div>
    <w:div w:id="1576434333">
      <w:bodyDiv w:val="1"/>
      <w:marLeft w:val="0"/>
      <w:marRight w:val="0"/>
      <w:marTop w:val="0"/>
      <w:marBottom w:val="0"/>
      <w:divBdr>
        <w:top w:val="none" w:sz="0" w:space="0" w:color="auto"/>
        <w:left w:val="none" w:sz="0" w:space="0" w:color="auto"/>
        <w:bottom w:val="none" w:sz="0" w:space="0" w:color="auto"/>
        <w:right w:val="none" w:sz="0" w:space="0" w:color="auto"/>
      </w:divBdr>
    </w:div>
    <w:div w:id="1675381615">
      <w:bodyDiv w:val="1"/>
      <w:marLeft w:val="0"/>
      <w:marRight w:val="0"/>
      <w:marTop w:val="0"/>
      <w:marBottom w:val="0"/>
      <w:divBdr>
        <w:top w:val="none" w:sz="0" w:space="0" w:color="auto"/>
        <w:left w:val="none" w:sz="0" w:space="0" w:color="auto"/>
        <w:bottom w:val="none" w:sz="0" w:space="0" w:color="auto"/>
        <w:right w:val="none" w:sz="0" w:space="0" w:color="auto"/>
      </w:divBdr>
    </w:div>
    <w:div w:id="1686902459">
      <w:bodyDiv w:val="1"/>
      <w:marLeft w:val="0"/>
      <w:marRight w:val="0"/>
      <w:marTop w:val="0"/>
      <w:marBottom w:val="0"/>
      <w:divBdr>
        <w:top w:val="none" w:sz="0" w:space="0" w:color="auto"/>
        <w:left w:val="none" w:sz="0" w:space="0" w:color="auto"/>
        <w:bottom w:val="none" w:sz="0" w:space="0" w:color="auto"/>
        <w:right w:val="none" w:sz="0" w:space="0" w:color="auto"/>
      </w:divBdr>
    </w:div>
    <w:div w:id="1710448474">
      <w:bodyDiv w:val="1"/>
      <w:marLeft w:val="0"/>
      <w:marRight w:val="0"/>
      <w:marTop w:val="0"/>
      <w:marBottom w:val="0"/>
      <w:divBdr>
        <w:top w:val="none" w:sz="0" w:space="0" w:color="auto"/>
        <w:left w:val="none" w:sz="0" w:space="0" w:color="auto"/>
        <w:bottom w:val="none" w:sz="0" w:space="0" w:color="auto"/>
        <w:right w:val="none" w:sz="0" w:space="0" w:color="auto"/>
      </w:divBdr>
    </w:div>
    <w:div w:id="1737631713">
      <w:bodyDiv w:val="1"/>
      <w:marLeft w:val="0"/>
      <w:marRight w:val="0"/>
      <w:marTop w:val="0"/>
      <w:marBottom w:val="0"/>
      <w:divBdr>
        <w:top w:val="none" w:sz="0" w:space="0" w:color="auto"/>
        <w:left w:val="none" w:sz="0" w:space="0" w:color="auto"/>
        <w:bottom w:val="none" w:sz="0" w:space="0" w:color="auto"/>
        <w:right w:val="none" w:sz="0" w:space="0" w:color="auto"/>
      </w:divBdr>
    </w:div>
    <w:div w:id="1936747483">
      <w:bodyDiv w:val="1"/>
      <w:marLeft w:val="0"/>
      <w:marRight w:val="0"/>
      <w:marTop w:val="0"/>
      <w:marBottom w:val="0"/>
      <w:divBdr>
        <w:top w:val="none" w:sz="0" w:space="0" w:color="auto"/>
        <w:left w:val="none" w:sz="0" w:space="0" w:color="auto"/>
        <w:bottom w:val="none" w:sz="0" w:space="0" w:color="auto"/>
        <w:right w:val="none" w:sz="0" w:space="0" w:color="auto"/>
      </w:divBdr>
    </w:div>
    <w:div w:id="2036224588">
      <w:bodyDiv w:val="1"/>
      <w:marLeft w:val="0"/>
      <w:marRight w:val="0"/>
      <w:marTop w:val="0"/>
      <w:marBottom w:val="0"/>
      <w:divBdr>
        <w:top w:val="none" w:sz="0" w:space="0" w:color="auto"/>
        <w:left w:val="none" w:sz="0" w:space="0" w:color="auto"/>
        <w:bottom w:val="none" w:sz="0" w:space="0" w:color="auto"/>
        <w:right w:val="none" w:sz="0" w:space="0" w:color="auto"/>
      </w:divBdr>
    </w:div>
    <w:div w:id="211335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lobalinnovationindex.org/gii-2020-repor" TargetMode="Externa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diagramLayout" Target="diagrams/layout2.xml"/><Relationship Id="rId25" Type="http://schemas.openxmlformats.org/officeDocument/2006/relationships/hyperlink" Target="https://zakon.rada.gov.ua/laws/show/40-15" TargetMode="Externa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URL:https://doi.org/10.32782/2524-0072/2023-58-88"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economy-confer.com.ua/full-article/4688/" TargetMode="External"/><Relationship Id="rId10" Type="http://schemas.openxmlformats.org/officeDocument/2006/relationships/diagramColors" Target="diagrams/colors1.xml"/><Relationship Id="rId19"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3.xml"/><Relationship Id="rId22" Type="http://schemas.openxmlformats.org/officeDocument/2006/relationships/hyperlink" Target="https://doi.org/10.33296/2707-0654-17(34)-08"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Власні кошти, млн грн (%)</c:v>
                </c:pt>
                <c:pt idx="1">
                  <c:v>Кошти держбюджету, млн грн (%)</c:v>
                </c:pt>
                <c:pt idx="2">
                  <c:v>Кошти іноземних інвесторів, млн грн (%)</c:v>
                </c:pt>
                <c:pt idx="3">
                  <c:v>Інші джерела, млн грн (%)</c:v>
                </c:pt>
              </c:strCache>
            </c:strRef>
          </c:cat>
          <c:val>
            <c:numRef>
              <c:f>Лист1!$B$2:$B$5</c:f>
              <c:numCache>
                <c:formatCode>General</c:formatCode>
                <c:ptCount val="4"/>
                <c:pt idx="0">
                  <c:v>87.7</c:v>
                </c:pt>
                <c:pt idx="1">
                  <c:v>3.9</c:v>
                </c:pt>
                <c:pt idx="2">
                  <c:v>0.3</c:v>
                </c:pt>
                <c:pt idx="3">
                  <c:v>8.1</c:v>
                </c:pt>
              </c:numCache>
            </c:numRef>
          </c:val>
          <c:extLst>
            <c:ext xmlns:c16="http://schemas.microsoft.com/office/drawing/2014/chart" uri="{C3380CC4-5D6E-409C-BE32-E72D297353CC}">
              <c16:uniqueId val="{00000000-350F-4EE3-B6F5-8DF966FDAAC2}"/>
            </c:ext>
          </c:extLst>
        </c:ser>
        <c:ser>
          <c:idx val="1"/>
          <c:order val="1"/>
          <c:tx>
            <c:strRef>
              <c:f>Лист1!$C$1</c:f>
              <c:strCache>
                <c:ptCount val="1"/>
                <c:pt idx="0">
                  <c:v>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Власні кошти, млн грн (%)</c:v>
                </c:pt>
                <c:pt idx="1">
                  <c:v>Кошти держбюджету, млн грн (%)</c:v>
                </c:pt>
                <c:pt idx="2">
                  <c:v>Кошти іноземних інвесторів, млн грн (%)</c:v>
                </c:pt>
                <c:pt idx="3">
                  <c:v>Інші джерела, млн грн (%)</c:v>
                </c:pt>
              </c:strCache>
            </c:strRef>
          </c:cat>
          <c:val>
            <c:numRef>
              <c:f>Лист1!$C$2:$C$5</c:f>
              <c:numCache>
                <c:formatCode>General</c:formatCode>
                <c:ptCount val="4"/>
                <c:pt idx="0">
                  <c:v>88.2</c:v>
                </c:pt>
                <c:pt idx="1">
                  <c:v>5.2</c:v>
                </c:pt>
                <c:pt idx="2">
                  <c:v>0.9</c:v>
                </c:pt>
                <c:pt idx="3">
                  <c:v>5.7</c:v>
                </c:pt>
              </c:numCache>
            </c:numRef>
          </c:val>
          <c:extLst>
            <c:ext xmlns:c16="http://schemas.microsoft.com/office/drawing/2014/chart" uri="{C3380CC4-5D6E-409C-BE32-E72D297353CC}">
              <c16:uniqueId val="{00000001-350F-4EE3-B6F5-8DF966FDAAC2}"/>
            </c:ext>
          </c:extLst>
        </c:ser>
        <c:ser>
          <c:idx val="2"/>
          <c:order val="2"/>
          <c:tx>
            <c:strRef>
              <c:f>Лист1!$D$1</c:f>
              <c:strCache>
                <c:ptCount val="1"/>
                <c:pt idx="0">
                  <c:v>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Власні кошти, млн грн (%)</c:v>
                </c:pt>
                <c:pt idx="1">
                  <c:v>Кошти держбюджету, млн грн (%)</c:v>
                </c:pt>
                <c:pt idx="2">
                  <c:v>Кошти іноземних інвесторів, млн грн (%)</c:v>
                </c:pt>
                <c:pt idx="3">
                  <c:v>Інші джерела, млн грн (%)</c:v>
                </c:pt>
              </c:strCache>
            </c:strRef>
          </c:cat>
          <c:val>
            <c:numRef>
              <c:f>Лист1!$D$2:$D$5</c:f>
              <c:numCache>
                <c:formatCode>General</c:formatCode>
                <c:ptCount val="4"/>
                <c:pt idx="0">
                  <c:v>84.5</c:v>
                </c:pt>
                <c:pt idx="1">
                  <c:v>2.5</c:v>
                </c:pt>
                <c:pt idx="2">
                  <c:v>1.2</c:v>
                </c:pt>
                <c:pt idx="3">
                  <c:v>11.8</c:v>
                </c:pt>
              </c:numCache>
            </c:numRef>
          </c:val>
          <c:extLst>
            <c:ext xmlns:c16="http://schemas.microsoft.com/office/drawing/2014/chart" uri="{C3380CC4-5D6E-409C-BE32-E72D297353CC}">
              <c16:uniqueId val="{00000002-350F-4EE3-B6F5-8DF966FDAAC2}"/>
            </c:ext>
          </c:extLst>
        </c:ser>
        <c:dLbls>
          <c:showLegendKey val="0"/>
          <c:showVal val="0"/>
          <c:showCatName val="0"/>
          <c:showSerName val="0"/>
          <c:showPercent val="0"/>
          <c:showBubbleSize val="0"/>
        </c:dLbls>
        <c:gapWidth val="150"/>
        <c:axId val="234821504"/>
        <c:axId val="234823040"/>
      </c:barChart>
      <c:catAx>
        <c:axId val="234821504"/>
        <c:scaling>
          <c:orientation val="minMax"/>
        </c:scaling>
        <c:delete val="0"/>
        <c:axPos val="b"/>
        <c:numFmt formatCode="General" sourceLinked="0"/>
        <c:majorTickMark val="out"/>
        <c:minorTickMark val="none"/>
        <c:tickLblPos val="nextTo"/>
        <c:crossAx val="234823040"/>
        <c:crosses val="autoZero"/>
        <c:auto val="1"/>
        <c:lblAlgn val="ctr"/>
        <c:lblOffset val="100"/>
        <c:noMultiLvlLbl val="0"/>
      </c:catAx>
      <c:valAx>
        <c:axId val="234823040"/>
        <c:scaling>
          <c:orientation val="minMax"/>
        </c:scaling>
        <c:delete val="0"/>
        <c:axPos val="l"/>
        <c:majorGridlines/>
        <c:numFmt formatCode="General" sourceLinked="1"/>
        <c:majorTickMark val="out"/>
        <c:minorTickMark val="none"/>
        <c:tickLblPos val="nextTo"/>
        <c:crossAx val="2348215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Промисловість, млн грн (%)</c:v>
                </c:pt>
                <c:pt idx="1">
                  <c:v>Інформаційні технології, млн грн (%)</c:v>
                </c:pt>
                <c:pt idx="2">
                  <c:v>Сільське господарство, млн грн (%)</c:v>
                </c:pt>
                <c:pt idx="3">
                  <c:v>Інші сектори, млн грн (%)</c:v>
                </c:pt>
              </c:strCache>
            </c:strRef>
          </c:cat>
          <c:val>
            <c:numRef>
              <c:f>Лист1!$B$2:$B$5</c:f>
              <c:numCache>
                <c:formatCode>General</c:formatCode>
                <c:ptCount val="4"/>
                <c:pt idx="0">
                  <c:v>65</c:v>
                </c:pt>
                <c:pt idx="1">
                  <c:v>20</c:v>
                </c:pt>
                <c:pt idx="2">
                  <c:v>10</c:v>
                </c:pt>
                <c:pt idx="3">
                  <c:v>8.1</c:v>
                </c:pt>
              </c:numCache>
            </c:numRef>
          </c:val>
          <c:extLst>
            <c:ext xmlns:c16="http://schemas.microsoft.com/office/drawing/2014/chart" uri="{C3380CC4-5D6E-409C-BE32-E72D297353CC}">
              <c16:uniqueId val="{00000000-E736-41EB-A86C-916007BD2696}"/>
            </c:ext>
          </c:extLst>
        </c:ser>
        <c:ser>
          <c:idx val="1"/>
          <c:order val="1"/>
          <c:tx>
            <c:strRef>
              <c:f>Лист1!$C$1</c:f>
              <c:strCache>
                <c:ptCount val="1"/>
                <c:pt idx="0">
                  <c:v>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Промисловість, млн грн (%)</c:v>
                </c:pt>
                <c:pt idx="1">
                  <c:v>Інформаційні технології, млн грн (%)</c:v>
                </c:pt>
                <c:pt idx="2">
                  <c:v>Сільське господарство, млн грн (%)</c:v>
                </c:pt>
                <c:pt idx="3">
                  <c:v>Інші сектори, млн грн (%)</c:v>
                </c:pt>
              </c:strCache>
            </c:strRef>
          </c:cat>
          <c:val>
            <c:numRef>
              <c:f>Лист1!$C$2:$C$5</c:f>
              <c:numCache>
                <c:formatCode>General</c:formatCode>
                <c:ptCount val="4"/>
                <c:pt idx="0">
                  <c:v>60</c:v>
                </c:pt>
                <c:pt idx="1">
                  <c:v>22</c:v>
                </c:pt>
                <c:pt idx="2">
                  <c:v>10</c:v>
                </c:pt>
                <c:pt idx="3">
                  <c:v>8</c:v>
                </c:pt>
              </c:numCache>
            </c:numRef>
          </c:val>
          <c:extLst>
            <c:ext xmlns:c16="http://schemas.microsoft.com/office/drawing/2014/chart" uri="{C3380CC4-5D6E-409C-BE32-E72D297353CC}">
              <c16:uniqueId val="{00000001-E736-41EB-A86C-916007BD2696}"/>
            </c:ext>
          </c:extLst>
        </c:ser>
        <c:ser>
          <c:idx val="2"/>
          <c:order val="2"/>
          <c:tx>
            <c:strRef>
              <c:f>Лист1!$D$1</c:f>
              <c:strCache>
                <c:ptCount val="1"/>
                <c:pt idx="0">
                  <c:v>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Промисловість, млн грн (%)</c:v>
                </c:pt>
                <c:pt idx="1">
                  <c:v>Інформаційні технології, млн грн (%)</c:v>
                </c:pt>
                <c:pt idx="2">
                  <c:v>Сільське господарство, млн грн (%)</c:v>
                </c:pt>
                <c:pt idx="3">
                  <c:v>Інші сектори, млн грн (%)</c:v>
                </c:pt>
              </c:strCache>
            </c:strRef>
          </c:cat>
          <c:val>
            <c:numRef>
              <c:f>Лист1!$D$2:$D$5</c:f>
              <c:numCache>
                <c:formatCode>General</c:formatCode>
                <c:ptCount val="4"/>
                <c:pt idx="0">
                  <c:v>60</c:v>
                </c:pt>
                <c:pt idx="1">
                  <c:v>22</c:v>
                </c:pt>
                <c:pt idx="2">
                  <c:v>9</c:v>
                </c:pt>
                <c:pt idx="3">
                  <c:v>9</c:v>
                </c:pt>
              </c:numCache>
            </c:numRef>
          </c:val>
          <c:extLst>
            <c:ext xmlns:c16="http://schemas.microsoft.com/office/drawing/2014/chart" uri="{C3380CC4-5D6E-409C-BE32-E72D297353CC}">
              <c16:uniqueId val="{00000002-E736-41EB-A86C-916007BD2696}"/>
            </c:ext>
          </c:extLst>
        </c:ser>
        <c:dLbls>
          <c:showLegendKey val="0"/>
          <c:showVal val="0"/>
          <c:showCatName val="0"/>
          <c:showSerName val="0"/>
          <c:showPercent val="0"/>
          <c:showBubbleSize val="0"/>
        </c:dLbls>
        <c:gapWidth val="150"/>
        <c:axId val="353130752"/>
        <c:axId val="353136640"/>
      </c:barChart>
      <c:catAx>
        <c:axId val="353130752"/>
        <c:scaling>
          <c:orientation val="minMax"/>
        </c:scaling>
        <c:delete val="0"/>
        <c:axPos val="b"/>
        <c:numFmt formatCode="General" sourceLinked="0"/>
        <c:majorTickMark val="out"/>
        <c:minorTickMark val="none"/>
        <c:tickLblPos val="nextTo"/>
        <c:crossAx val="353136640"/>
        <c:crosses val="autoZero"/>
        <c:auto val="1"/>
        <c:lblAlgn val="ctr"/>
        <c:lblOffset val="100"/>
        <c:noMultiLvlLbl val="0"/>
      </c:catAx>
      <c:valAx>
        <c:axId val="353136640"/>
        <c:scaling>
          <c:orientation val="minMax"/>
        </c:scaling>
        <c:delete val="0"/>
        <c:axPos val="l"/>
        <c:majorGridlines/>
        <c:numFmt formatCode="General" sourceLinked="1"/>
        <c:majorTickMark val="out"/>
        <c:minorTickMark val="none"/>
        <c:tickLblPos val="nextTo"/>
        <c:crossAx val="353130752"/>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Місце у рейтингу</c:v>
                </c:pt>
                <c:pt idx="1">
                  <c:v>Інноваційний внесок</c:v>
                </c:pt>
                <c:pt idx="2">
                  <c:v>Результати інновацій</c:v>
                </c:pt>
              </c:strCache>
            </c:strRef>
          </c:cat>
          <c:val>
            <c:numRef>
              <c:f>Лист1!$B$2:$B$5</c:f>
              <c:numCache>
                <c:formatCode>General</c:formatCode>
                <c:ptCount val="4"/>
                <c:pt idx="0">
                  <c:v>45</c:v>
                </c:pt>
                <c:pt idx="1">
                  <c:v>71</c:v>
                </c:pt>
                <c:pt idx="2">
                  <c:v>37</c:v>
                </c:pt>
              </c:numCache>
            </c:numRef>
          </c:val>
          <c:extLst>
            <c:ext xmlns:c16="http://schemas.microsoft.com/office/drawing/2014/chart" uri="{C3380CC4-5D6E-409C-BE32-E72D297353CC}">
              <c16:uniqueId val="{00000000-0601-4373-8B62-9C35E84C638C}"/>
            </c:ext>
          </c:extLst>
        </c:ser>
        <c:ser>
          <c:idx val="1"/>
          <c:order val="1"/>
          <c:tx>
            <c:strRef>
              <c:f>Лист1!$C$1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Місце у рейтингу</c:v>
                </c:pt>
                <c:pt idx="1">
                  <c:v>Інноваційний внесок</c:v>
                </c:pt>
                <c:pt idx="2">
                  <c:v>Результати інновацій</c:v>
                </c:pt>
              </c:strCache>
            </c:strRef>
          </c:cat>
          <c:val>
            <c:numRef>
              <c:f>Лист1!$C$2:$C$5</c:f>
              <c:numCache>
                <c:formatCode>General</c:formatCode>
                <c:ptCount val="4"/>
                <c:pt idx="0">
                  <c:v>49</c:v>
                </c:pt>
                <c:pt idx="1">
                  <c:v>76</c:v>
                </c:pt>
                <c:pt idx="2">
                  <c:v>37</c:v>
                </c:pt>
              </c:numCache>
            </c:numRef>
          </c:val>
          <c:extLst>
            <c:ext xmlns:c16="http://schemas.microsoft.com/office/drawing/2014/chart" uri="{C3380CC4-5D6E-409C-BE32-E72D297353CC}">
              <c16:uniqueId val="{00000001-0601-4373-8B62-9C35E84C638C}"/>
            </c:ext>
          </c:extLst>
        </c:ser>
        <c:ser>
          <c:idx val="3"/>
          <c:order val="2"/>
          <c:tx>
            <c:strRef>
              <c:f>Лист1!$E$1</c:f>
              <c:strCache>
                <c:ptCount val="1"/>
                <c:pt idx="0">
                  <c:v>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Місце у рейтингу</c:v>
                </c:pt>
                <c:pt idx="1">
                  <c:v>Інноваційний внесок</c:v>
                </c:pt>
                <c:pt idx="2">
                  <c:v>Результати інновацій</c:v>
                </c:pt>
              </c:strCache>
            </c:strRef>
          </c:cat>
          <c:val>
            <c:numRef>
              <c:f>Лист1!$E$2:$E$5</c:f>
              <c:numCache>
                <c:formatCode>General</c:formatCode>
                <c:ptCount val="4"/>
                <c:pt idx="0">
                  <c:v>55</c:v>
                </c:pt>
                <c:pt idx="1">
                  <c:v>78</c:v>
                </c:pt>
                <c:pt idx="2">
                  <c:v>42</c:v>
                </c:pt>
              </c:numCache>
            </c:numRef>
          </c:val>
          <c:extLst>
            <c:ext xmlns:c16="http://schemas.microsoft.com/office/drawing/2014/chart" uri="{C3380CC4-5D6E-409C-BE32-E72D297353CC}">
              <c16:uniqueId val="{00000002-0601-4373-8B62-9C35E84C638C}"/>
            </c:ext>
          </c:extLst>
        </c:ser>
        <c:ser>
          <c:idx val="4"/>
          <c:order val="3"/>
          <c:tx>
            <c:strRef>
              <c:f>Лист1!$F$1</c:f>
              <c:strCache>
                <c:ptCount val="1"/>
                <c:pt idx="0">
                  <c:v>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Місце у рейтингу</c:v>
                </c:pt>
                <c:pt idx="1">
                  <c:v>Інноваційний внесок</c:v>
                </c:pt>
                <c:pt idx="2">
                  <c:v>Результати інновацій</c:v>
                </c:pt>
              </c:strCache>
            </c:strRef>
          </c:cat>
          <c:val>
            <c:numRef>
              <c:f>Лист1!$F$2:$F$5</c:f>
              <c:numCache>
                <c:formatCode>General</c:formatCode>
                <c:ptCount val="4"/>
                <c:pt idx="0">
                  <c:v>60</c:v>
                </c:pt>
                <c:pt idx="1">
                  <c:v>78</c:v>
                </c:pt>
                <c:pt idx="2">
                  <c:v>54</c:v>
                </c:pt>
              </c:numCache>
            </c:numRef>
          </c:val>
          <c:extLst>
            <c:ext xmlns:c16="http://schemas.microsoft.com/office/drawing/2014/chart" uri="{C3380CC4-5D6E-409C-BE32-E72D297353CC}">
              <c16:uniqueId val="{00000003-0601-4373-8B62-9C35E84C638C}"/>
            </c:ext>
          </c:extLst>
        </c:ser>
        <c:dLbls>
          <c:showLegendKey val="0"/>
          <c:showVal val="0"/>
          <c:showCatName val="0"/>
          <c:showSerName val="0"/>
          <c:showPercent val="0"/>
          <c:showBubbleSize val="0"/>
        </c:dLbls>
        <c:gapWidth val="150"/>
        <c:axId val="353154176"/>
        <c:axId val="353155712"/>
      </c:barChart>
      <c:catAx>
        <c:axId val="353154176"/>
        <c:scaling>
          <c:orientation val="minMax"/>
        </c:scaling>
        <c:delete val="0"/>
        <c:axPos val="b"/>
        <c:numFmt formatCode="General" sourceLinked="0"/>
        <c:majorTickMark val="out"/>
        <c:minorTickMark val="none"/>
        <c:tickLblPos val="nextTo"/>
        <c:crossAx val="353155712"/>
        <c:crosses val="autoZero"/>
        <c:auto val="1"/>
        <c:lblAlgn val="ctr"/>
        <c:lblOffset val="100"/>
        <c:noMultiLvlLbl val="0"/>
      </c:catAx>
      <c:valAx>
        <c:axId val="353155712"/>
        <c:scaling>
          <c:orientation val="minMax"/>
        </c:scaling>
        <c:delete val="0"/>
        <c:axPos val="l"/>
        <c:majorGridlines/>
        <c:numFmt formatCode="General" sourceLinked="1"/>
        <c:majorTickMark val="out"/>
        <c:minorTickMark val="none"/>
        <c:tickLblPos val="nextTo"/>
        <c:crossAx val="353154176"/>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BA395E-7025-478B-93CA-4DB1D49CDA22}" type="doc">
      <dgm:prSet loTypeId="urn:microsoft.com/office/officeart/2005/8/layout/hList6" loCatId="list" qsTypeId="urn:microsoft.com/office/officeart/2005/8/quickstyle/simple1" qsCatId="simple" csTypeId="urn:microsoft.com/office/officeart/2005/8/colors/accent0_1" csCatId="mainScheme" phldr="1"/>
      <dgm:spPr/>
      <dgm:t>
        <a:bodyPr/>
        <a:lstStyle/>
        <a:p>
          <a:endParaRPr lang="ru-RU"/>
        </a:p>
      </dgm:t>
    </dgm:pt>
    <dgm:pt modelId="{20C85B0B-5EE5-469F-B9A8-C96058C89A32}">
      <dgm:prSet phldrT="[Текст]" custT="1"/>
      <dgm:spPr/>
      <dgm:t>
        <a:bodyPr/>
        <a:lstStyle/>
        <a:p>
          <a:r>
            <a:rPr lang="uk-UA" sz="1400">
              <a:latin typeface="Times New Roman" panose="02020603050405020304" pitchFamily="18" charset="0"/>
              <a:cs typeface="Times New Roman" panose="02020603050405020304" pitchFamily="18" charset="0"/>
            </a:rPr>
            <a:t>-Власні кошти, державні субсидії, кредити, венчурний капітал, гранти, краудфандинг, іноземні інвестиції.</a:t>
          </a:r>
          <a:endParaRPr lang="ru-RU" sz="1400">
            <a:latin typeface="Times New Roman" panose="02020603050405020304" pitchFamily="18" charset="0"/>
            <a:cs typeface="Times New Roman" panose="02020603050405020304" pitchFamily="18" charset="0"/>
          </a:endParaRPr>
        </a:p>
      </dgm:t>
    </dgm:pt>
    <dgm:pt modelId="{89E400A5-87E1-424B-A4F1-6C67C697BB40}" type="parTrans" cxnId="{A10EBA9A-1454-4CF9-B809-5D8064E1A6C4}">
      <dgm:prSet/>
      <dgm:spPr/>
      <dgm:t>
        <a:bodyPr/>
        <a:lstStyle/>
        <a:p>
          <a:endParaRPr lang="ru-RU"/>
        </a:p>
      </dgm:t>
    </dgm:pt>
    <dgm:pt modelId="{E9B1EEA9-5E6F-47A4-8FF8-0BB8D46C3028}" type="sibTrans" cxnId="{A10EBA9A-1454-4CF9-B809-5D8064E1A6C4}">
      <dgm:prSet/>
      <dgm:spPr/>
      <dgm:t>
        <a:bodyPr/>
        <a:lstStyle/>
        <a:p>
          <a:endParaRPr lang="ru-RU"/>
        </a:p>
      </dgm:t>
    </dgm:pt>
    <dgm:pt modelId="{4C5B8DA4-6F00-479B-A01D-96809E103C9C}">
      <dgm:prSet custT="1"/>
      <dgm:spPr/>
      <dgm:t>
        <a:bodyPr/>
        <a:lstStyle/>
        <a:p>
          <a:r>
            <a:rPr lang="uk-UA" sz="1400">
              <a:latin typeface="Times New Roman" panose="02020603050405020304" pitchFamily="18" charset="0"/>
              <a:cs typeface="Times New Roman" panose="02020603050405020304" pitchFamily="18" charset="0"/>
            </a:rPr>
            <a:t>-</a:t>
          </a:r>
          <a:r>
            <a:rPr lang="ru-RU" sz="1400">
              <a:latin typeface="Times New Roman" panose="02020603050405020304" pitchFamily="18" charset="0"/>
              <a:cs typeface="Times New Roman" panose="02020603050405020304" pitchFamily="18" charset="0"/>
            </a:rPr>
            <a:t>Кредити, лізинг, венчурне фінансування, державно-приватне партнерство (ДПП), податкові пільги.</a:t>
          </a:r>
        </a:p>
      </dgm:t>
    </dgm:pt>
    <dgm:pt modelId="{01E04D70-F461-4887-887B-1B402A5ADD0A}" type="parTrans" cxnId="{44EF8527-A117-46C0-A8CB-F9627268A231}">
      <dgm:prSet/>
      <dgm:spPr/>
      <dgm:t>
        <a:bodyPr/>
        <a:lstStyle/>
        <a:p>
          <a:endParaRPr lang="ru-RU"/>
        </a:p>
      </dgm:t>
    </dgm:pt>
    <dgm:pt modelId="{6E16D199-97A7-457C-9868-DEAFB64A88B9}" type="sibTrans" cxnId="{44EF8527-A117-46C0-A8CB-F9627268A231}">
      <dgm:prSet/>
      <dgm:spPr/>
      <dgm:t>
        <a:bodyPr/>
        <a:lstStyle/>
        <a:p>
          <a:endParaRPr lang="ru-RU"/>
        </a:p>
      </dgm:t>
    </dgm:pt>
    <dgm:pt modelId="{50797B48-BDA4-4D05-8AA2-DEDD02D9FD92}">
      <dgm:prSet custT="1"/>
      <dgm:spPr/>
      <dgm:t>
        <a:bodyPr/>
        <a:lstStyle/>
        <a:p>
          <a:r>
            <a:rPr lang="uk-UA" sz="1400">
              <a:latin typeface="Times New Roman" panose="02020603050405020304" pitchFamily="18" charset="0"/>
              <a:cs typeface="Times New Roman" panose="02020603050405020304" pitchFamily="18" charset="0"/>
            </a:rPr>
            <a:t>-Внутрішні інноваційні фонди, підрозділи управління проєктами, зовнішні інституції (банки, венчурні фонди, державні агенції).</a:t>
          </a:r>
          <a:endParaRPr lang="ru-RU" sz="1400">
            <a:latin typeface="Times New Roman" panose="02020603050405020304" pitchFamily="18" charset="0"/>
            <a:cs typeface="Times New Roman" panose="02020603050405020304" pitchFamily="18" charset="0"/>
          </a:endParaRPr>
        </a:p>
      </dgm:t>
    </dgm:pt>
    <dgm:pt modelId="{582F6BA8-5006-4C40-8BB5-47CB64303807}" type="parTrans" cxnId="{6C7501EC-1352-4892-B893-46480CE6CDAA}">
      <dgm:prSet/>
      <dgm:spPr/>
      <dgm:t>
        <a:bodyPr/>
        <a:lstStyle/>
        <a:p>
          <a:endParaRPr lang="ru-RU"/>
        </a:p>
      </dgm:t>
    </dgm:pt>
    <dgm:pt modelId="{15BDBF2F-44B2-4F52-95F4-E562AC224BB5}" type="sibTrans" cxnId="{6C7501EC-1352-4892-B893-46480CE6CDAA}">
      <dgm:prSet/>
      <dgm:spPr/>
      <dgm:t>
        <a:bodyPr/>
        <a:lstStyle/>
        <a:p>
          <a:endParaRPr lang="ru-RU"/>
        </a:p>
      </dgm:t>
    </dgm:pt>
    <dgm:pt modelId="{3270F8A2-9D7A-47CF-9418-961DB2BA34B4}">
      <dgm:prSet custT="1"/>
      <dgm:spPr/>
      <dgm:t>
        <a:bodyPr/>
        <a:lstStyle/>
        <a:p>
          <a:r>
            <a:rPr lang="uk-UA" sz="1400">
              <a:latin typeface="Times New Roman" panose="02020603050405020304" pitchFamily="18" charset="0"/>
              <a:cs typeface="Times New Roman" panose="02020603050405020304" pitchFamily="18" charset="0"/>
            </a:rPr>
            <a:t>-</a:t>
          </a:r>
          <a:r>
            <a:rPr lang="ru-RU" sz="1400">
              <a:latin typeface="Times New Roman" panose="02020603050405020304" pitchFamily="18" charset="0"/>
              <a:cs typeface="Times New Roman" panose="02020603050405020304" pitchFamily="18" charset="0"/>
            </a:rPr>
            <a:t>Закони, регуляторні акти, стимули для інвесторів.</a:t>
          </a:r>
        </a:p>
      </dgm:t>
    </dgm:pt>
    <dgm:pt modelId="{846FCFFC-A549-428C-87E8-507360447D6C}" type="parTrans" cxnId="{0DBAE41E-9A46-4E4B-999D-A3B055140458}">
      <dgm:prSet/>
      <dgm:spPr/>
      <dgm:t>
        <a:bodyPr/>
        <a:lstStyle/>
        <a:p>
          <a:endParaRPr lang="ru-RU"/>
        </a:p>
      </dgm:t>
    </dgm:pt>
    <dgm:pt modelId="{B48987C4-A587-4EB1-952D-D1A1D2B7AEE3}" type="sibTrans" cxnId="{0DBAE41E-9A46-4E4B-999D-A3B055140458}">
      <dgm:prSet/>
      <dgm:spPr/>
      <dgm:t>
        <a:bodyPr/>
        <a:lstStyle/>
        <a:p>
          <a:endParaRPr lang="ru-RU"/>
        </a:p>
      </dgm:t>
    </dgm:pt>
    <dgm:pt modelId="{986B7B9F-FA48-4D5A-B6BB-5C9AF991170C}" type="pres">
      <dgm:prSet presAssocID="{01BA395E-7025-478B-93CA-4DB1D49CDA22}" presName="Name0" presStyleCnt="0">
        <dgm:presLayoutVars>
          <dgm:dir/>
          <dgm:resizeHandles val="exact"/>
        </dgm:presLayoutVars>
      </dgm:prSet>
      <dgm:spPr/>
    </dgm:pt>
    <dgm:pt modelId="{F546A68C-72CB-4904-A1DC-6A3F43B5738C}" type="pres">
      <dgm:prSet presAssocID="{20C85B0B-5EE5-469F-B9A8-C96058C89A32}" presName="node" presStyleLbl="node1" presStyleIdx="0" presStyleCnt="4">
        <dgm:presLayoutVars>
          <dgm:bulletEnabled val="1"/>
        </dgm:presLayoutVars>
      </dgm:prSet>
      <dgm:spPr/>
    </dgm:pt>
    <dgm:pt modelId="{D0C6D87D-5D43-4F8C-ABEF-5937490254EB}" type="pres">
      <dgm:prSet presAssocID="{E9B1EEA9-5E6F-47A4-8FF8-0BB8D46C3028}" presName="sibTrans" presStyleCnt="0"/>
      <dgm:spPr/>
    </dgm:pt>
    <dgm:pt modelId="{267CC2EE-0AA1-45C1-8061-0363AEEBA6E5}" type="pres">
      <dgm:prSet presAssocID="{4C5B8DA4-6F00-479B-A01D-96809E103C9C}" presName="node" presStyleLbl="node1" presStyleIdx="1" presStyleCnt="4">
        <dgm:presLayoutVars>
          <dgm:bulletEnabled val="1"/>
        </dgm:presLayoutVars>
      </dgm:prSet>
      <dgm:spPr/>
    </dgm:pt>
    <dgm:pt modelId="{6E155CBB-774E-4523-A4D5-F5DA97E747F1}" type="pres">
      <dgm:prSet presAssocID="{6E16D199-97A7-457C-9868-DEAFB64A88B9}" presName="sibTrans" presStyleCnt="0"/>
      <dgm:spPr/>
    </dgm:pt>
    <dgm:pt modelId="{BBB80251-2D6D-4368-A87D-96DEA63E072D}" type="pres">
      <dgm:prSet presAssocID="{50797B48-BDA4-4D05-8AA2-DEDD02D9FD92}" presName="node" presStyleLbl="node1" presStyleIdx="2" presStyleCnt="4">
        <dgm:presLayoutVars>
          <dgm:bulletEnabled val="1"/>
        </dgm:presLayoutVars>
      </dgm:prSet>
      <dgm:spPr/>
    </dgm:pt>
    <dgm:pt modelId="{AA67FF45-B6D7-4AA7-8989-EEA3A8DFBD31}" type="pres">
      <dgm:prSet presAssocID="{15BDBF2F-44B2-4F52-95F4-E562AC224BB5}" presName="sibTrans" presStyleCnt="0"/>
      <dgm:spPr/>
    </dgm:pt>
    <dgm:pt modelId="{FF51A4DF-1FA3-448A-8145-ACF0CDD0F642}" type="pres">
      <dgm:prSet presAssocID="{3270F8A2-9D7A-47CF-9418-961DB2BA34B4}" presName="node" presStyleLbl="node1" presStyleIdx="3" presStyleCnt="4">
        <dgm:presLayoutVars>
          <dgm:bulletEnabled val="1"/>
        </dgm:presLayoutVars>
      </dgm:prSet>
      <dgm:spPr/>
    </dgm:pt>
  </dgm:ptLst>
  <dgm:cxnLst>
    <dgm:cxn modelId="{0DBAE41E-9A46-4E4B-999D-A3B055140458}" srcId="{01BA395E-7025-478B-93CA-4DB1D49CDA22}" destId="{3270F8A2-9D7A-47CF-9418-961DB2BA34B4}" srcOrd="3" destOrd="0" parTransId="{846FCFFC-A549-428C-87E8-507360447D6C}" sibTransId="{B48987C4-A587-4EB1-952D-D1A1D2B7AEE3}"/>
    <dgm:cxn modelId="{2C7C2F22-4C43-478E-B393-F4C3910266F3}" type="presOf" srcId="{3270F8A2-9D7A-47CF-9418-961DB2BA34B4}" destId="{FF51A4DF-1FA3-448A-8145-ACF0CDD0F642}" srcOrd="0" destOrd="0" presId="urn:microsoft.com/office/officeart/2005/8/layout/hList6"/>
    <dgm:cxn modelId="{44EF8527-A117-46C0-A8CB-F9627268A231}" srcId="{01BA395E-7025-478B-93CA-4DB1D49CDA22}" destId="{4C5B8DA4-6F00-479B-A01D-96809E103C9C}" srcOrd="1" destOrd="0" parTransId="{01E04D70-F461-4887-887B-1B402A5ADD0A}" sibTransId="{6E16D199-97A7-457C-9868-DEAFB64A88B9}"/>
    <dgm:cxn modelId="{53D22E3F-12F8-4632-87A6-B7AC1573BAB3}" type="presOf" srcId="{50797B48-BDA4-4D05-8AA2-DEDD02D9FD92}" destId="{BBB80251-2D6D-4368-A87D-96DEA63E072D}" srcOrd="0" destOrd="0" presId="urn:microsoft.com/office/officeart/2005/8/layout/hList6"/>
    <dgm:cxn modelId="{362B1D72-05E9-42C6-B166-C940EB84599D}" type="presOf" srcId="{01BA395E-7025-478B-93CA-4DB1D49CDA22}" destId="{986B7B9F-FA48-4D5A-B6BB-5C9AF991170C}" srcOrd="0" destOrd="0" presId="urn:microsoft.com/office/officeart/2005/8/layout/hList6"/>
    <dgm:cxn modelId="{0E01977A-67C1-4A64-B0B2-8287FC2156E8}" type="presOf" srcId="{20C85B0B-5EE5-469F-B9A8-C96058C89A32}" destId="{F546A68C-72CB-4904-A1DC-6A3F43B5738C}" srcOrd="0" destOrd="0" presId="urn:microsoft.com/office/officeart/2005/8/layout/hList6"/>
    <dgm:cxn modelId="{A10EBA9A-1454-4CF9-B809-5D8064E1A6C4}" srcId="{01BA395E-7025-478B-93CA-4DB1D49CDA22}" destId="{20C85B0B-5EE5-469F-B9A8-C96058C89A32}" srcOrd="0" destOrd="0" parTransId="{89E400A5-87E1-424B-A4F1-6C67C697BB40}" sibTransId="{E9B1EEA9-5E6F-47A4-8FF8-0BB8D46C3028}"/>
    <dgm:cxn modelId="{6C7501EC-1352-4892-B893-46480CE6CDAA}" srcId="{01BA395E-7025-478B-93CA-4DB1D49CDA22}" destId="{50797B48-BDA4-4D05-8AA2-DEDD02D9FD92}" srcOrd="2" destOrd="0" parTransId="{582F6BA8-5006-4C40-8BB5-47CB64303807}" sibTransId="{15BDBF2F-44B2-4F52-95F4-E562AC224BB5}"/>
    <dgm:cxn modelId="{0D716CEC-34F9-4794-9EAE-F67A6FCAC5EE}" type="presOf" srcId="{4C5B8DA4-6F00-479B-A01D-96809E103C9C}" destId="{267CC2EE-0AA1-45C1-8061-0363AEEBA6E5}" srcOrd="0" destOrd="0" presId="urn:microsoft.com/office/officeart/2005/8/layout/hList6"/>
    <dgm:cxn modelId="{2343FDC1-B7D2-4FB6-98AD-444D217537C5}" type="presParOf" srcId="{986B7B9F-FA48-4D5A-B6BB-5C9AF991170C}" destId="{F546A68C-72CB-4904-A1DC-6A3F43B5738C}" srcOrd="0" destOrd="0" presId="urn:microsoft.com/office/officeart/2005/8/layout/hList6"/>
    <dgm:cxn modelId="{E55CE28A-EFC3-4CB5-BF17-C5657FBB99D6}" type="presParOf" srcId="{986B7B9F-FA48-4D5A-B6BB-5C9AF991170C}" destId="{D0C6D87D-5D43-4F8C-ABEF-5937490254EB}" srcOrd="1" destOrd="0" presId="urn:microsoft.com/office/officeart/2005/8/layout/hList6"/>
    <dgm:cxn modelId="{0833AE67-6551-48A6-A5CB-8C67D6515D8A}" type="presParOf" srcId="{986B7B9F-FA48-4D5A-B6BB-5C9AF991170C}" destId="{267CC2EE-0AA1-45C1-8061-0363AEEBA6E5}" srcOrd="2" destOrd="0" presId="urn:microsoft.com/office/officeart/2005/8/layout/hList6"/>
    <dgm:cxn modelId="{37531E62-8CC7-4EC5-AEC1-B8ECDD232CAA}" type="presParOf" srcId="{986B7B9F-FA48-4D5A-B6BB-5C9AF991170C}" destId="{6E155CBB-774E-4523-A4D5-F5DA97E747F1}" srcOrd="3" destOrd="0" presId="urn:microsoft.com/office/officeart/2005/8/layout/hList6"/>
    <dgm:cxn modelId="{BAF7D031-6E0B-497E-BE8F-1D139B10C4AC}" type="presParOf" srcId="{986B7B9F-FA48-4D5A-B6BB-5C9AF991170C}" destId="{BBB80251-2D6D-4368-A87D-96DEA63E072D}" srcOrd="4" destOrd="0" presId="urn:microsoft.com/office/officeart/2005/8/layout/hList6"/>
    <dgm:cxn modelId="{C8DC6A91-A2D8-4041-90C1-D037FD29520B}" type="presParOf" srcId="{986B7B9F-FA48-4D5A-B6BB-5C9AF991170C}" destId="{AA67FF45-B6D7-4AA7-8989-EEA3A8DFBD31}" srcOrd="5" destOrd="0" presId="urn:microsoft.com/office/officeart/2005/8/layout/hList6"/>
    <dgm:cxn modelId="{ABBFD6A9-8D5D-4D14-9129-2E99D628D99C}" type="presParOf" srcId="{986B7B9F-FA48-4D5A-B6BB-5C9AF991170C}" destId="{FF51A4DF-1FA3-448A-8145-ACF0CDD0F642}" srcOrd="6" destOrd="0" presId="urn:microsoft.com/office/officeart/2005/8/layout/hList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571654-1C19-44AB-AC1B-64CF0B988718}"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ru-RU"/>
        </a:p>
      </dgm:t>
    </dgm:pt>
    <dgm:pt modelId="{39044579-48FD-4E88-AD6C-E470834D0139}" type="asst">
      <dgm:prSet phldrT="[Текст]" custT="1"/>
      <dgm:spPr/>
      <dgm:t>
        <a:bodyPr/>
        <a:lstStyle/>
        <a:p>
          <a:pPr algn="ctr"/>
          <a:r>
            <a:rPr lang="ru-RU" sz="1400" b="0">
              <a:latin typeface="Times New Roman" panose="02020603050405020304" pitchFamily="18" charset="0"/>
              <a:cs typeface="Times New Roman" panose="02020603050405020304" pitchFamily="18" charset="0"/>
            </a:rPr>
            <a:t>Інноваційний фонд підприємства</a:t>
          </a:r>
        </a:p>
      </dgm:t>
    </dgm:pt>
    <dgm:pt modelId="{17321023-9A7A-46AF-9B1A-D4F1F9ABF8DF}" type="parTrans" cxnId="{1AF9BA26-EB44-486F-A0FF-C5D8DCA3A9CF}">
      <dgm:prSet/>
      <dgm:spPr/>
      <dgm:t>
        <a:bodyPr/>
        <a:lstStyle/>
        <a:p>
          <a:endParaRPr lang="ru-RU"/>
        </a:p>
      </dgm:t>
    </dgm:pt>
    <dgm:pt modelId="{9E060CDD-4ED8-4E06-8E11-652A5E59680A}" type="sibTrans" cxnId="{1AF9BA26-EB44-486F-A0FF-C5D8DCA3A9CF}">
      <dgm:prSet/>
      <dgm:spPr/>
      <dgm:t>
        <a:bodyPr/>
        <a:lstStyle/>
        <a:p>
          <a:endParaRPr lang="ru-RU"/>
        </a:p>
      </dgm:t>
    </dgm:pt>
    <dgm:pt modelId="{3C62A1E3-70ED-4BF9-B434-2A429F8585B9}">
      <dgm:prSet phldrT="[Текст]" custT="1"/>
      <dgm:spPr/>
      <dgm:t>
        <a:bodyPr/>
        <a:lstStyle/>
        <a:p>
          <a:pPr algn="ctr"/>
          <a:r>
            <a:rPr lang="ru-RU" sz="1400" b="0">
              <a:latin typeface="Times New Roman" panose="02020603050405020304" pitchFamily="18" charset="0"/>
              <a:cs typeface="Times New Roman" panose="02020603050405020304" pitchFamily="18" charset="0"/>
            </a:rPr>
            <a:t>Міжнародна кооперація</a:t>
          </a:r>
        </a:p>
      </dgm:t>
    </dgm:pt>
    <dgm:pt modelId="{7FDEA8DA-D80C-4E2D-A02C-D1F4A4B8B4E9}" type="parTrans" cxnId="{A5748D6D-E448-4FB6-AD95-F540A7263A64}">
      <dgm:prSet/>
      <dgm:spPr/>
      <dgm:t>
        <a:bodyPr/>
        <a:lstStyle/>
        <a:p>
          <a:endParaRPr lang="ru-RU"/>
        </a:p>
      </dgm:t>
    </dgm:pt>
    <dgm:pt modelId="{0ECE8FC8-1882-4A05-97B4-8E34CBDF5B02}" type="sibTrans" cxnId="{A5748D6D-E448-4FB6-AD95-F540A7263A64}">
      <dgm:prSet/>
      <dgm:spPr/>
      <dgm:t>
        <a:bodyPr/>
        <a:lstStyle/>
        <a:p>
          <a:endParaRPr lang="ru-RU"/>
        </a:p>
      </dgm:t>
    </dgm:pt>
    <dgm:pt modelId="{2BF1F9D0-D8E3-4140-B5AF-A462403A2301}">
      <dgm:prSet phldrT="[Текст]" custT="1"/>
      <dgm:spPr/>
      <dgm:t>
        <a:bodyPr/>
        <a:lstStyle/>
        <a:p>
          <a:pPr algn="ctr"/>
          <a:r>
            <a:rPr lang="uk-UA" sz="1400" b="0">
              <a:latin typeface="Times New Roman" panose="02020603050405020304" pitchFamily="18" charset="0"/>
              <a:cs typeface="Times New Roman" panose="02020603050405020304" pitchFamily="18" charset="0"/>
            </a:rPr>
            <a:t>Концепція удосконалення механізму фінансування інноваційної діяльності підприємства</a:t>
          </a:r>
          <a:endParaRPr lang="ru-RU" sz="1400" b="0">
            <a:latin typeface="Times New Roman" panose="02020603050405020304" pitchFamily="18" charset="0"/>
            <a:cs typeface="Times New Roman" panose="02020603050405020304" pitchFamily="18" charset="0"/>
          </a:endParaRPr>
        </a:p>
      </dgm:t>
    </dgm:pt>
    <dgm:pt modelId="{DDFA4D77-6A1A-4985-B040-89FC58105D47}" type="sibTrans" cxnId="{C0F36C30-AA51-442E-BE37-4997958BD566}">
      <dgm:prSet/>
      <dgm:spPr/>
      <dgm:t>
        <a:bodyPr/>
        <a:lstStyle/>
        <a:p>
          <a:endParaRPr lang="ru-RU"/>
        </a:p>
      </dgm:t>
    </dgm:pt>
    <dgm:pt modelId="{6F7AFA2B-E6AB-4FAA-B026-BDE6C268FCB8}" type="parTrans" cxnId="{C0F36C30-AA51-442E-BE37-4997958BD566}">
      <dgm:prSet/>
      <dgm:spPr/>
      <dgm:t>
        <a:bodyPr/>
        <a:lstStyle/>
        <a:p>
          <a:endParaRPr lang="ru-RU"/>
        </a:p>
      </dgm:t>
    </dgm:pt>
    <dgm:pt modelId="{9E5446F2-06DE-498B-A89A-DCA949431A24}" type="asst">
      <dgm:prSet phldrT="[Текст]" custT="1"/>
      <dgm:spPr/>
      <dgm:t>
        <a:bodyPr/>
        <a:lstStyle/>
        <a:p>
          <a:pPr algn="ctr"/>
          <a:r>
            <a:rPr lang="ru-RU" sz="1400" b="0">
              <a:latin typeface="Times New Roman" panose="02020603050405020304" pitchFamily="18" charset="0"/>
              <a:cs typeface="Times New Roman" panose="02020603050405020304" pitchFamily="18" charset="0"/>
            </a:rPr>
            <a:t>ДПП</a:t>
          </a:r>
        </a:p>
      </dgm:t>
    </dgm:pt>
    <dgm:pt modelId="{CAFBDFDC-439D-4459-BB99-EBD2AA4DC19B}" type="parTrans" cxnId="{DEDD9F7B-E8ED-44D9-9513-1532C5A4F6E7}">
      <dgm:prSet/>
      <dgm:spPr/>
      <dgm:t>
        <a:bodyPr/>
        <a:lstStyle/>
        <a:p>
          <a:endParaRPr lang="ru-RU"/>
        </a:p>
      </dgm:t>
    </dgm:pt>
    <dgm:pt modelId="{A7DA6904-2F0F-4B98-945D-E94B694DD590}" type="sibTrans" cxnId="{DEDD9F7B-E8ED-44D9-9513-1532C5A4F6E7}">
      <dgm:prSet/>
      <dgm:spPr/>
      <dgm:t>
        <a:bodyPr/>
        <a:lstStyle/>
        <a:p>
          <a:endParaRPr lang="ru-RU"/>
        </a:p>
      </dgm:t>
    </dgm:pt>
    <dgm:pt modelId="{50613B3B-C051-45AE-A2EE-8C00F74C9B2A}">
      <dgm:prSet custT="1"/>
      <dgm:spPr/>
      <dgm:t>
        <a:bodyPr/>
        <a:lstStyle/>
        <a:p>
          <a:pPr algn="ctr"/>
          <a:r>
            <a:rPr lang="ru-RU" sz="1400" b="0">
              <a:latin typeface="Times New Roman" panose="02020603050405020304" pitchFamily="18" charset="0"/>
              <a:cs typeface="Times New Roman" panose="02020603050405020304" pitchFamily="18" charset="0"/>
            </a:rPr>
            <a:t>Краудфандинг</a:t>
          </a:r>
        </a:p>
      </dgm:t>
    </dgm:pt>
    <dgm:pt modelId="{D1192197-C954-437C-88A1-7E9A4B82893D}" type="parTrans" cxnId="{C7F30C98-3B1C-49A7-9D19-9876C8EB6B1F}">
      <dgm:prSet/>
      <dgm:spPr/>
      <dgm:t>
        <a:bodyPr/>
        <a:lstStyle/>
        <a:p>
          <a:endParaRPr lang="ru-RU"/>
        </a:p>
      </dgm:t>
    </dgm:pt>
    <dgm:pt modelId="{3760FA00-D214-4DD1-A00F-CD5E00607085}" type="sibTrans" cxnId="{C7F30C98-3B1C-49A7-9D19-9876C8EB6B1F}">
      <dgm:prSet/>
      <dgm:spPr/>
      <dgm:t>
        <a:bodyPr/>
        <a:lstStyle/>
        <a:p>
          <a:endParaRPr lang="ru-RU"/>
        </a:p>
      </dgm:t>
    </dgm:pt>
    <dgm:pt modelId="{C6B5E4DA-6A43-4349-A285-F759E78FB40F}">
      <dgm:prSet custT="1"/>
      <dgm:spPr/>
      <dgm:t>
        <a:bodyPr/>
        <a:lstStyle/>
        <a:p>
          <a:pPr algn="just"/>
          <a:r>
            <a:rPr lang="ru-RU" sz="1200">
              <a:latin typeface="Times New Roman" panose="02020603050405020304" pitchFamily="18" charset="0"/>
              <a:cs typeface="Times New Roman" panose="02020603050405020304" pitchFamily="18" charset="0"/>
            </a:rPr>
            <a:t>Формування фонду (5–10% прибутку, наприклад, 2,5–5 млн грн для компанії з прибутком 50 млн грн) для фінансування власних розробок і стартапів.  Підприємства спрямовують 5–10% прибутку (наприклад, 2,5–5 млн грн для компанії з прибутком 50 млн грн) на фінансування власних розробок або стартапів.</a:t>
          </a:r>
        </a:p>
      </dgm:t>
    </dgm:pt>
    <dgm:pt modelId="{464D2305-BE6C-49DA-8192-C3C13E4ACD4E}" type="parTrans" cxnId="{1DA6A472-F032-4B71-AE36-753B9538AFC4}">
      <dgm:prSet/>
      <dgm:spPr/>
      <dgm:t>
        <a:bodyPr/>
        <a:lstStyle/>
        <a:p>
          <a:endParaRPr lang="ru-RU"/>
        </a:p>
      </dgm:t>
    </dgm:pt>
    <dgm:pt modelId="{748404FF-D40D-49DE-84A3-E393EE2A6498}" type="sibTrans" cxnId="{1DA6A472-F032-4B71-AE36-753B9538AFC4}">
      <dgm:prSet/>
      <dgm:spPr/>
      <dgm:t>
        <a:bodyPr/>
        <a:lstStyle/>
        <a:p>
          <a:endParaRPr lang="ru-RU"/>
        </a:p>
      </dgm:t>
    </dgm:pt>
    <dgm:pt modelId="{9F2F2425-3297-4F00-B927-3F7CEB3AC05A}">
      <dgm:prSet custT="1"/>
      <dgm:spPr/>
      <dgm:t>
        <a:bodyPr/>
        <a:lstStyle/>
        <a:p>
          <a:pPr algn="just"/>
          <a:r>
            <a:rPr lang="ru-RU" sz="1200">
              <a:latin typeface="Times New Roman" panose="02020603050405020304" pitchFamily="18" charset="0"/>
              <a:cs typeface="Times New Roman" panose="02020603050405020304" pitchFamily="18" charset="0"/>
            </a:rPr>
            <a:t>Легалізація платформ (Kickstarter), залучення до 1 млн грн на проєкт, потенціал: 100 млн грн щорічно.</a:t>
          </a:r>
        </a:p>
      </dgm:t>
    </dgm:pt>
    <dgm:pt modelId="{3B7DE1DF-E2B7-45A9-966B-57A44B497CBE}" type="parTrans" cxnId="{DD4D98D3-CFA0-438E-B03F-44984FC26C52}">
      <dgm:prSet/>
      <dgm:spPr/>
      <dgm:t>
        <a:bodyPr/>
        <a:lstStyle/>
        <a:p>
          <a:endParaRPr lang="ru-RU"/>
        </a:p>
      </dgm:t>
    </dgm:pt>
    <dgm:pt modelId="{ADF2739C-CC01-4A40-9FBC-672E35ED9A9C}" type="sibTrans" cxnId="{DD4D98D3-CFA0-438E-B03F-44984FC26C52}">
      <dgm:prSet/>
      <dgm:spPr/>
      <dgm:t>
        <a:bodyPr/>
        <a:lstStyle/>
        <a:p>
          <a:endParaRPr lang="ru-RU"/>
        </a:p>
      </dgm:t>
    </dgm:pt>
    <dgm:pt modelId="{454CE69F-BF02-4810-B234-B2EC2BD216A1}">
      <dgm:prSet custT="1"/>
      <dgm:spPr/>
      <dgm:t>
        <a:bodyPr/>
        <a:lstStyle/>
        <a:p>
          <a:pPr algn="just"/>
          <a:r>
            <a:rPr lang="ru-RU" sz="1100">
              <a:latin typeface="Times New Roman" panose="02020603050405020304" pitchFamily="18" charset="0"/>
              <a:cs typeface="Times New Roman" panose="02020603050405020304" pitchFamily="18" charset="0"/>
            </a:rPr>
            <a:t>Залучення грантів ЄС (до 500 тис. євро) і кредитів ЄБРР для компенсації низького іноземного фінансування (1,2% у 2024 р.).</a:t>
          </a:r>
        </a:p>
      </dgm:t>
    </dgm:pt>
    <dgm:pt modelId="{B5CFF9C2-E0B8-42CE-840B-FC8C7E28BAA5}" type="parTrans" cxnId="{79BBFF77-7E52-4F10-80BC-686AD3B32102}">
      <dgm:prSet/>
      <dgm:spPr/>
      <dgm:t>
        <a:bodyPr/>
        <a:lstStyle/>
        <a:p>
          <a:endParaRPr lang="ru-RU"/>
        </a:p>
      </dgm:t>
    </dgm:pt>
    <dgm:pt modelId="{420EC806-1F00-4649-A485-D7C7D0D2C7B9}" type="sibTrans" cxnId="{79BBFF77-7E52-4F10-80BC-686AD3B32102}">
      <dgm:prSet/>
      <dgm:spPr/>
      <dgm:t>
        <a:bodyPr/>
        <a:lstStyle/>
        <a:p>
          <a:endParaRPr lang="ru-RU"/>
        </a:p>
      </dgm:t>
    </dgm:pt>
    <dgm:pt modelId="{81325C4D-08F2-4D46-88EA-F7868F667982}">
      <dgm:prSet/>
      <dgm:spPr/>
      <dgm:t>
        <a:bodyPr/>
        <a:lstStyle/>
        <a:p>
          <a:pPr algn="just"/>
          <a:r>
            <a:rPr lang="ru-RU">
              <a:latin typeface="Times New Roman" panose="02020603050405020304" pitchFamily="18" charset="0"/>
              <a:cs typeface="Times New Roman" panose="02020603050405020304" pitchFamily="18" charset="0"/>
            </a:rPr>
            <a:t>Співфінансування державою (30–50%) проєктів, наприклад, енергоефективне обладнання (4 млн грн – держава, 3 млн грн – венчурний капітал, 3 млн грн – власні кошти).Спрощення реєстрації фондів і податкові пільги для залучення до 500 млн грн щорічно.</a:t>
          </a:r>
        </a:p>
      </dgm:t>
    </dgm:pt>
    <dgm:pt modelId="{8A2D4740-3AB4-4B8F-88EE-586AEF19AF72}" type="parTrans" cxnId="{AF735FD5-A3DC-4C7B-A672-E954B0DFEF6A}">
      <dgm:prSet/>
      <dgm:spPr/>
      <dgm:t>
        <a:bodyPr/>
        <a:lstStyle/>
        <a:p>
          <a:endParaRPr lang="ru-RU"/>
        </a:p>
      </dgm:t>
    </dgm:pt>
    <dgm:pt modelId="{D8CB0FA7-53FC-438D-ABD7-95AAA0984FA8}" type="sibTrans" cxnId="{AF735FD5-A3DC-4C7B-A672-E954B0DFEF6A}">
      <dgm:prSet/>
      <dgm:spPr/>
      <dgm:t>
        <a:bodyPr/>
        <a:lstStyle/>
        <a:p>
          <a:endParaRPr lang="ru-RU"/>
        </a:p>
      </dgm:t>
    </dgm:pt>
    <dgm:pt modelId="{CF8DBD5D-057A-4684-B660-6DBC6FBDE73F}" type="pres">
      <dgm:prSet presAssocID="{46571654-1C19-44AB-AC1B-64CF0B988718}" presName="Name0" presStyleCnt="0">
        <dgm:presLayoutVars>
          <dgm:chPref val="1"/>
          <dgm:dir/>
          <dgm:animOne val="branch"/>
          <dgm:animLvl val="lvl"/>
          <dgm:resizeHandles/>
        </dgm:presLayoutVars>
      </dgm:prSet>
      <dgm:spPr/>
    </dgm:pt>
    <dgm:pt modelId="{853EA85B-B095-47D2-B163-8E2810D2924E}" type="pres">
      <dgm:prSet presAssocID="{2BF1F9D0-D8E3-4140-B5AF-A462403A2301}" presName="vertOne" presStyleCnt="0"/>
      <dgm:spPr/>
    </dgm:pt>
    <dgm:pt modelId="{49A15F06-033C-472E-85EC-73B7AF4DE4C4}" type="pres">
      <dgm:prSet presAssocID="{2BF1F9D0-D8E3-4140-B5AF-A462403A2301}" presName="txOne" presStyleLbl="node0" presStyleIdx="0" presStyleCnt="1" custScaleX="94701" custScaleY="26780">
        <dgm:presLayoutVars>
          <dgm:chPref val="3"/>
        </dgm:presLayoutVars>
      </dgm:prSet>
      <dgm:spPr/>
    </dgm:pt>
    <dgm:pt modelId="{4FD011F1-9609-4868-9803-E0FA1B61A3FC}" type="pres">
      <dgm:prSet presAssocID="{2BF1F9D0-D8E3-4140-B5AF-A462403A2301}" presName="parTransOne" presStyleCnt="0"/>
      <dgm:spPr/>
    </dgm:pt>
    <dgm:pt modelId="{74A1ABA7-5342-4084-9D61-E3FD737720DA}" type="pres">
      <dgm:prSet presAssocID="{2BF1F9D0-D8E3-4140-B5AF-A462403A2301}" presName="horzOne" presStyleCnt="0"/>
      <dgm:spPr/>
    </dgm:pt>
    <dgm:pt modelId="{9145778D-8C6E-48C1-ADD7-8CFFFFCD7A91}" type="pres">
      <dgm:prSet presAssocID="{39044579-48FD-4E88-AD6C-E470834D0139}" presName="vertTwo" presStyleCnt="0"/>
      <dgm:spPr/>
    </dgm:pt>
    <dgm:pt modelId="{D7D72DB1-2068-47B2-8B09-6BE67E17A8DC}" type="pres">
      <dgm:prSet presAssocID="{39044579-48FD-4E88-AD6C-E470834D0139}" presName="txTwo" presStyleLbl="asst1" presStyleIdx="0" presStyleCnt="2" custScaleX="75480" custScaleY="38867" custLinFactNeighborX="364" custLinFactNeighborY="-9483">
        <dgm:presLayoutVars>
          <dgm:chPref val="3"/>
        </dgm:presLayoutVars>
      </dgm:prSet>
      <dgm:spPr/>
    </dgm:pt>
    <dgm:pt modelId="{0260CAC2-4A1B-4DC8-B0B2-72F5FFEB73D8}" type="pres">
      <dgm:prSet presAssocID="{39044579-48FD-4E88-AD6C-E470834D0139}" presName="parTransTwo" presStyleCnt="0"/>
      <dgm:spPr/>
    </dgm:pt>
    <dgm:pt modelId="{8EAE217A-5FA9-4017-9A1E-8AF2AFEDFB89}" type="pres">
      <dgm:prSet presAssocID="{39044579-48FD-4E88-AD6C-E470834D0139}" presName="horzTwo" presStyleCnt="0"/>
      <dgm:spPr/>
    </dgm:pt>
    <dgm:pt modelId="{119CBE19-8775-45DD-9289-C8DCC525F459}" type="pres">
      <dgm:prSet presAssocID="{C6B5E4DA-6A43-4349-A285-F759E78FB40F}" presName="vertThree" presStyleCnt="0"/>
      <dgm:spPr/>
    </dgm:pt>
    <dgm:pt modelId="{1B74993E-EDA0-410C-9E46-6EB1877F7B79}" type="pres">
      <dgm:prSet presAssocID="{C6B5E4DA-6A43-4349-A285-F759E78FB40F}" presName="txThree" presStyleLbl="node3" presStyleIdx="0" presStyleCnt="4" custScaleY="116874" custLinFactNeighborX="-58" custLinFactNeighborY="594">
        <dgm:presLayoutVars>
          <dgm:chPref val="3"/>
        </dgm:presLayoutVars>
      </dgm:prSet>
      <dgm:spPr/>
    </dgm:pt>
    <dgm:pt modelId="{8F21BBBC-8D2C-44BC-9091-CF3C16A8ECFF}" type="pres">
      <dgm:prSet presAssocID="{C6B5E4DA-6A43-4349-A285-F759E78FB40F}" presName="horzThree" presStyleCnt="0"/>
      <dgm:spPr/>
    </dgm:pt>
    <dgm:pt modelId="{11087DCB-0FF0-4BE4-98F0-F79B53A0FE7D}" type="pres">
      <dgm:prSet presAssocID="{9E060CDD-4ED8-4E06-8E11-652A5E59680A}" presName="sibSpaceTwo" presStyleCnt="0"/>
      <dgm:spPr/>
    </dgm:pt>
    <dgm:pt modelId="{1C67AE17-3F6A-4FD6-B814-2ADF095A291D}" type="pres">
      <dgm:prSet presAssocID="{50613B3B-C051-45AE-A2EE-8C00F74C9B2A}" presName="vertTwo" presStyleCnt="0"/>
      <dgm:spPr/>
    </dgm:pt>
    <dgm:pt modelId="{942E2A61-76F7-45AC-93E2-E377E9F39F28}" type="pres">
      <dgm:prSet presAssocID="{50613B3B-C051-45AE-A2EE-8C00F74C9B2A}" presName="txTwo" presStyleLbl="node2" presStyleIdx="0" presStyleCnt="2" custScaleX="78841" custScaleY="41087">
        <dgm:presLayoutVars>
          <dgm:chPref val="3"/>
        </dgm:presLayoutVars>
      </dgm:prSet>
      <dgm:spPr/>
    </dgm:pt>
    <dgm:pt modelId="{8AF7C885-F52C-45DF-A570-905347FC74BE}" type="pres">
      <dgm:prSet presAssocID="{50613B3B-C051-45AE-A2EE-8C00F74C9B2A}" presName="parTransTwo" presStyleCnt="0"/>
      <dgm:spPr/>
    </dgm:pt>
    <dgm:pt modelId="{E262CA1D-6C32-4E1B-8B9B-13B71DA4FD74}" type="pres">
      <dgm:prSet presAssocID="{50613B3B-C051-45AE-A2EE-8C00F74C9B2A}" presName="horzTwo" presStyleCnt="0"/>
      <dgm:spPr/>
    </dgm:pt>
    <dgm:pt modelId="{CF827201-D6C2-4CAD-9B53-A918329E22BB}" type="pres">
      <dgm:prSet presAssocID="{9F2F2425-3297-4F00-B927-3F7CEB3AC05A}" presName="vertThree" presStyleCnt="0"/>
      <dgm:spPr/>
    </dgm:pt>
    <dgm:pt modelId="{8E8AA2D2-BAB2-4DD5-9055-DBA3F89E2CE1}" type="pres">
      <dgm:prSet presAssocID="{9F2F2425-3297-4F00-B927-3F7CEB3AC05A}" presName="txThree" presStyleLbl="node3" presStyleIdx="1" presStyleCnt="4">
        <dgm:presLayoutVars>
          <dgm:chPref val="3"/>
        </dgm:presLayoutVars>
      </dgm:prSet>
      <dgm:spPr/>
    </dgm:pt>
    <dgm:pt modelId="{2C8D12D6-449C-491F-943D-88EC9FE1D9E3}" type="pres">
      <dgm:prSet presAssocID="{9F2F2425-3297-4F00-B927-3F7CEB3AC05A}" presName="horzThree" presStyleCnt="0"/>
      <dgm:spPr/>
    </dgm:pt>
    <dgm:pt modelId="{D2AE2F61-93CC-4A1D-BEDE-458A27C3AFD7}" type="pres">
      <dgm:prSet presAssocID="{3760FA00-D214-4DD1-A00F-CD5E00607085}" presName="sibSpaceTwo" presStyleCnt="0"/>
      <dgm:spPr/>
    </dgm:pt>
    <dgm:pt modelId="{B5FE5F31-96B5-4537-B639-EE5A974C0370}" type="pres">
      <dgm:prSet presAssocID="{9E5446F2-06DE-498B-A89A-DCA949431A24}" presName="vertTwo" presStyleCnt="0"/>
      <dgm:spPr/>
    </dgm:pt>
    <dgm:pt modelId="{EA9C606B-6322-4E2C-8FCD-235D99617BD9}" type="pres">
      <dgm:prSet presAssocID="{9E5446F2-06DE-498B-A89A-DCA949431A24}" presName="txTwo" presStyleLbl="asst1" presStyleIdx="1" presStyleCnt="2" custScaleX="44961" custScaleY="37538" custLinFactNeighborX="-25704" custLinFactNeighborY="10652">
        <dgm:presLayoutVars>
          <dgm:chPref val="3"/>
        </dgm:presLayoutVars>
      </dgm:prSet>
      <dgm:spPr/>
    </dgm:pt>
    <dgm:pt modelId="{F3AB04B2-36CD-4AE2-88B2-66A64012FCF3}" type="pres">
      <dgm:prSet presAssocID="{9E5446F2-06DE-498B-A89A-DCA949431A24}" presName="parTransTwo" presStyleCnt="0"/>
      <dgm:spPr/>
    </dgm:pt>
    <dgm:pt modelId="{7DC8002A-2F05-48D7-9F58-F586542D8A83}" type="pres">
      <dgm:prSet presAssocID="{9E5446F2-06DE-498B-A89A-DCA949431A24}" presName="horzTwo" presStyleCnt="0"/>
      <dgm:spPr/>
    </dgm:pt>
    <dgm:pt modelId="{0F4CE540-C66A-4DDC-8777-03572DC798A3}" type="pres">
      <dgm:prSet presAssocID="{81325C4D-08F2-4D46-88EA-F7868F667982}" presName="vertThree" presStyleCnt="0"/>
      <dgm:spPr/>
    </dgm:pt>
    <dgm:pt modelId="{35F2D484-8E7A-4B99-80C6-367ADFA6F587}" type="pres">
      <dgm:prSet presAssocID="{81325C4D-08F2-4D46-88EA-F7868F667982}" presName="txThree" presStyleLbl="node3" presStyleIdx="2" presStyleCnt="4" custScaleX="69739" custScaleY="110130" custLinFactNeighborX="2469" custLinFactNeighborY="5816">
        <dgm:presLayoutVars>
          <dgm:chPref val="3"/>
        </dgm:presLayoutVars>
      </dgm:prSet>
      <dgm:spPr/>
    </dgm:pt>
    <dgm:pt modelId="{623F8914-B2E6-46AD-8FEC-4BBA90B77CA9}" type="pres">
      <dgm:prSet presAssocID="{81325C4D-08F2-4D46-88EA-F7868F667982}" presName="horzThree" presStyleCnt="0"/>
      <dgm:spPr/>
    </dgm:pt>
    <dgm:pt modelId="{7FF41717-268E-433A-9181-FB8E0F7CA402}" type="pres">
      <dgm:prSet presAssocID="{A7DA6904-2F0F-4B98-945D-E94B694DD590}" presName="sibSpaceTwo" presStyleCnt="0"/>
      <dgm:spPr/>
    </dgm:pt>
    <dgm:pt modelId="{F3C6378F-9A07-4AD6-9A64-DEE6BBC6C2CE}" type="pres">
      <dgm:prSet presAssocID="{3C62A1E3-70ED-4BF9-B434-2A429F8585B9}" presName="vertTwo" presStyleCnt="0"/>
      <dgm:spPr/>
    </dgm:pt>
    <dgm:pt modelId="{0A2E0701-4374-4D55-AF14-97C2F0251092}" type="pres">
      <dgm:prSet presAssocID="{3C62A1E3-70ED-4BF9-B434-2A429F8585B9}" presName="txTwo" presStyleLbl="node2" presStyleIdx="1" presStyleCnt="2" custScaleX="85255" custScaleY="53579">
        <dgm:presLayoutVars>
          <dgm:chPref val="3"/>
        </dgm:presLayoutVars>
      </dgm:prSet>
      <dgm:spPr/>
    </dgm:pt>
    <dgm:pt modelId="{FBD208E4-F0FF-4F3B-BA23-15B23C3CC8E1}" type="pres">
      <dgm:prSet presAssocID="{3C62A1E3-70ED-4BF9-B434-2A429F8585B9}" presName="parTransTwo" presStyleCnt="0"/>
      <dgm:spPr/>
    </dgm:pt>
    <dgm:pt modelId="{2996C904-ED52-48DA-A9C4-D3021F589049}" type="pres">
      <dgm:prSet presAssocID="{3C62A1E3-70ED-4BF9-B434-2A429F8585B9}" presName="horzTwo" presStyleCnt="0"/>
      <dgm:spPr/>
    </dgm:pt>
    <dgm:pt modelId="{B1564C42-B52D-4101-B668-B7F48CC302F7}" type="pres">
      <dgm:prSet presAssocID="{454CE69F-BF02-4810-B234-B2EC2BD216A1}" presName="vertThree" presStyleCnt="0"/>
      <dgm:spPr/>
    </dgm:pt>
    <dgm:pt modelId="{B13CC8A6-B8EB-4E48-AB83-A7AFF09CA760}" type="pres">
      <dgm:prSet presAssocID="{454CE69F-BF02-4810-B234-B2EC2BD216A1}" presName="txThree" presStyleLbl="node3" presStyleIdx="3" presStyleCnt="4">
        <dgm:presLayoutVars>
          <dgm:chPref val="3"/>
        </dgm:presLayoutVars>
      </dgm:prSet>
      <dgm:spPr/>
    </dgm:pt>
    <dgm:pt modelId="{1E4F4E57-6D46-479B-988A-91F4A4509FCB}" type="pres">
      <dgm:prSet presAssocID="{454CE69F-BF02-4810-B234-B2EC2BD216A1}" presName="horzThree" presStyleCnt="0"/>
      <dgm:spPr/>
    </dgm:pt>
  </dgm:ptLst>
  <dgm:cxnLst>
    <dgm:cxn modelId="{DED85D11-ED34-41FE-AD42-D3DFEB9108EF}" type="presOf" srcId="{50613B3B-C051-45AE-A2EE-8C00F74C9B2A}" destId="{942E2A61-76F7-45AC-93E2-E377E9F39F28}" srcOrd="0" destOrd="0" presId="urn:microsoft.com/office/officeart/2005/8/layout/hierarchy4"/>
    <dgm:cxn modelId="{AC248E17-A7A5-41A7-88CA-EE5AD4D3A50C}" type="presOf" srcId="{9F2F2425-3297-4F00-B927-3F7CEB3AC05A}" destId="{8E8AA2D2-BAB2-4DD5-9055-DBA3F89E2CE1}" srcOrd="0" destOrd="0" presId="urn:microsoft.com/office/officeart/2005/8/layout/hierarchy4"/>
    <dgm:cxn modelId="{1AF9BA26-EB44-486F-A0FF-C5D8DCA3A9CF}" srcId="{2BF1F9D0-D8E3-4140-B5AF-A462403A2301}" destId="{39044579-48FD-4E88-AD6C-E470834D0139}" srcOrd="0" destOrd="0" parTransId="{17321023-9A7A-46AF-9B1A-D4F1F9ABF8DF}" sibTransId="{9E060CDD-4ED8-4E06-8E11-652A5E59680A}"/>
    <dgm:cxn modelId="{C0F36C30-AA51-442E-BE37-4997958BD566}" srcId="{46571654-1C19-44AB-AC1B-64CF0B988718}" destId="{2BF1F9D0-D8E3-4140-B5AF-A462403A2301}" srcOrd="0" destOrd="0" parTransId="{6F7AFA2B-E6AB-4FAA-B026-BDE6C268FCB8}" sibTransId="{DDFA4D77-6A1A-4985-B040-89FC58105D47}"/>
    <dgm:cxn modelId="{AE620032-3FFC-428E-9C98-D2418E03A7D6}" type="presOf" srcId="{9E5446F2-06DE-498B-A89A-DCA949431A24}" destId="{EA9C606B-6322-4E2C-8FCD-235D99617BD9}" srcOrd="0" destOrd="0" presId="urn:microsoft.com/office/officeart/2005/8/layout/hierarchy4"/>
    <dgm:cxn modelId="{75AE4568-3557-4C28-A632-C445137CD3B4}" type="presOf" srcId="{C6B5E4DA-6A43-4349-A285-F759E78FB40F}" destId="{1B74993E-EDA0-410C-9E46-6EB1877F7B79}" srcOrd="0" destOrd="0" presId="urn:microsoft.com/office/officeart/2005/8/layout/hierarchy4"/>
    <dgm:cxn modelId="{2CA03D4A-2CE1-454A-ADC6-B353E3C69754}" type="presOf" srcId="{2BF1F9D0-D8E3-4140-B5AF-A462403A2301}" destId="{49A15F06-033C-472E-85EC-73B7AF4DE4C4}" srcOrd="0" destOrd="0" presId="urn:microsoft.com/office/officeart/2005/8/layout/hierarchy4"/>
    <dgm:cxn modelId="{A5748D6D-E448-4FB6-AD95-F540A7263A64}" srcId="{2BF1F9D0-D8E3-4140-B5AF-A462403A2301}" destId="{3C62A1E3-70ED-4BF9-B434-2A429F8585B9}" srcOrd="3" destOrd="0" parTransId="{7FDEA8DA-D80C-4E2D-A02C-D1F4A4B8B4E9}" sibTransId="{0ECE8FC8-1882-4A05-97B4-8E34CBDF5B02}"/>
    <dgm:cxn modelId="{1DA6A472-F032-4B71-AE36-753B9538AFC4}" srcId="{39044579-48FD-4E88-AD6C-E470834D0139}" destId="{C6B5E4DA-6A43-4349-A285-F759E78FB40F}" srcOrd="0" destOrd="0" parTransId="{464D2305-BE6C-49DA-8192-C3C13E4ACD4E}" sibTransId="{748404FF-D40D-49DE-84A3-E393EE2A6498}"/>
    <dgm:cxn modelId="{79BBFF77-7E52-4F10-80BC-686AD3B32102}" srcId="{3C62A1E3-70ED-4BF9-B434-2A429F8585B9}" destId="{454CE69F-BF02-4810-B234-B2EC2BD216A1}" srcOrd="0" destOrd="0" parTransId="{B5CFF9C2-E0B8-42CE-840B-FC8C7E28BAA5}" sibTransId="{420EC806-1F00-4649-A485-D7C7D0D2C7B9}"/>
    <dgm:cxn modelId="{DEDD9F7B-E8ED-44D9-9513-1532C5A4F6E7}" srcId="{2BF1F9D0-D8E3-4140-B5AF-A462403A2301}" destId="{9E5446F2-06DE-498B-A89A-DCA949431A24}" srcOrd="2" destOrd="0" parTransId="{CAFBDFDC-439D-4459-BB99-EBD2AA4DC19B}" sibTransId="{A7DA6904-2F0F-4B98-945D-E94B694DD590}"/>
    <dgm:cxn modelId="{9D081381-7DF5-43DA-AEF7-639CFF8A4F6A}" type="presOf" srcId="{81325C4D-08F2-4D46-88EA-F7868F667982}" destId="{35F2D484-8E7A-4B99-80C6-367ADFA6F587}" srcOrd="0" destOrd="0" presId="urn:microsoft.com/office/officeart/2005/8/layout/hierarchy4"/>
    <dgm:cxn modelId="{DAAE6C8D-FB0E-455F-ABF8-4BABF8702E2F}" type="presOf" srcId="{39044579-48FD-4E88-AD6C-E470834D0139}" destId="{D7D72DB1-2068-47B2-8B09-6BE67E17A8DC}" srcOrd="0" destOrd="0" presId="urn:microsoft.com/office/officeart/2005/8/layout/hierarchy4"/>
    <dgm:cxn modelId="{EEF2568F-E526-40EF-A0BF-EF93FAEC5189}" type="presOf" srcId="{3C62A1E3-70ED-4BF9-B434-2A429F8585B9}" destId="{0A2E0701-4374-4D55-AF14-97C2F0251092}" srcOrd="0" destOrd="0" presId="urn:microsoft.com/office/officeart/2005/8/layout/hierarchy4"/>
    <dgm:cxn modelId="{C7F30C98-3B1C-49A7-9D19-9876C8EB6B1F}" srcId="{2BF1F9D0-D8E3-4140-B5AF-A462403A2301}" destId="{50613B3B-C051-45AE-A2EE-8C00F74C9B2A}" srcOrd="1" destOrd="0" parTransId="{D1192197-C954-437C-88A1-7E9A4B82893D}" sibTransId="{3760FA00-D214-4DD1-A00F-CD5E00607085}"/>
    <dgm:cxn modelId="{710DF1A2-0EB5-41AD-A66B-AE1EA19A2551}" type="presOf" srcId="{46571654-1C19-44AB-AC1B-64CF0B988718}" destId="{CF8DBD5D-057A-4684-B660-6DBC6FBDE73F}" srcOrd="0" destOrd="0" presId="urn:microsoft.com/office/officeart/2005/8/layout/hierarchy4"/>
    <dgm:cxn modelId="{A3EA9EBC-B227-4437-83C5-C5AD6AD77D0B}" type="presOf" srcId="{454CE69F-BF02-4810-B234-B2EC2BD216A1}" destId="{B13CC8A6-B8EB-4E48-AB83-A7AFF09CA760}" srcOrd="0" destOrd="0" presId="urn:microsoft.com/office/officeart/2005/8/layout/hierarchy4"/>
    <dgm:cxn modelId="{DD4D98D3-CFA0-438E-B03F-44984FC26C52}" srcId="{50613B3B-C051-45AE-A2EE-8C00F74C9B2A}" destId="{9F2F2425-3297-4F00-B927-3F7CEB3AC05A}" srcOrd="0" destOrd="0" parTransId="{3B7DE1DF-E2B7-45A9-966B-57A44B497CBE}" sibTransId="{ADF2739C-CC01-4A40-9FBC-672E35ED9A9C}"/>
    <dgm:cxn modelId="{AF735FD5-A3DC-4C7B-A672-E954B0DFEF6A}" srcId="{9E5446F2-06DE-498B-A89A-DCA949431A24}" destId="{81325C4D-08F2-4D46-88EA-F7868F667982}" srcOrd="0" destOrd="0" parTransId="{8A2D4740-3AB4-4B8F-88EE-586AEF19AF72}" sibTransId="{D8CB0FA7-53FC-438D-ABD7-95AAA0984FA8}"/>
    <dgm:cxn modelId="{290474F9-A50B-4835-A43D-7D6E63BF59F7}" type="presParOf" srcId="{CF8DBD5D-057A-4684-B660-6DBC6FBDE73F}" destId="{853EA85B-B095-47D2-B163-8E2810D2924E}" srcOrd="0" destOrd="0" presId="urn:microsoft.com/office/officeart/2005/8/layout/hierarchy4"/>
    <dgm:cxn modelId="{B28DDE77-BD1D-4597-AA70-F64409296A38}" type="presParOf" srcId="{853EA85B-B095-47D2-B163-8E2810D2924E}" destId="{49A15F06-033C-472E-85EC-73B7AF4DE4C4}" srcOrd="0" destOrd="0" presId="urn:microsoft.com/office/officeart/2005/8/layout/hierarchy4"/>
    <dgm:cxn modelId="{87720653-38D3-41E0-8E93-630B982614A2}" type="presParOf" srcId="{853EA85B-B095-47D2-B163-8E2810D2924E}" destId="{4FD011F1-9609-4868-9803-E0FA1B61A3FC}" srcOrd="1" destOrd="0" presId="urn:microsoft.com/office/officeart/2005/8/layout/hierarchy4"/>
    <dgm:cxn modelId="{B59D0FE2-D0C7-4E50-80C6-AEDC49101A59}" type="presParOf" srcId="{853EA85B-B095-47D2-B163-8E2810D2924E}" destId="{74A1ABA7-5342-4084-9D61-E3FD737720DA}" srcOrd="2" destOrd="0" presId="urn:microsoft.com/office/officeart/2005/8/layout/hierarchy4"/>
    <dgm:cxn modelId="{9B51AFD8-CBE0-4897-81BC-E26C8EB73FF2}" type="presParOf" srcId="{74A1ABA7-5342-4084-9D61-E3FD737720DA}" destId="{9145778D-8C6E-48C1-ADD7-8CFFFFCD7A91}" srcOrd="0" destOrd="0" presId="urn:microsoft.com/office/officeart/2005/8/layout/hierarchy4"/>
    <dgm:cxn modelId="{B823224C-3671-4CBB-93D8-4BFDA50E883E}" type="presParOf" srcId="{9145778D-8C6E-48C1-ADD7-8CFFFFCD7A91}" destId="{D7D72DB1-2068-47B2-8B09-6BE67E17A8DC}" srcOrd="0" destOrd="0" presId="urn:microsoft.com/office/officeart/2005/8/layout/hierarchy4"/>
    <dgm:cxn modelId="{F1454E4B-53F9-4AAF-9D2D-2F0AF6ED5F21}" type="presParOf" srcId="{9145778D-8C6E-48C1-ADD7-8CFFFFCD7A91}" destId="{0260CAC2-4A1B-4DC8-B0B2-72F5FFEB73D8}" srcOrd="1" destOrd="0" presId="urn:microsoft.com/office/officeart/2005/8/layout/hierarchy4"/>
    <dgm:cxn modelId="{0F7EF8B9-E03F-4D2F-AAD0-803978B0AF1E}" type="presParOf" srcId="{9145778D-8C6E-48C1-ADD7-8CFFFFCD7A91}" destId="{8EAE217A-5FA9-4017-9A1E-8AF2AFEDFB89}" srcOrd="2" destOrd="0" presId="urn:microsoft.com/office/officeart/2005/8/layout/hierarchy4"/>
    <dgm:cxn modelId="{9A089221-E2B0-450C-9477-028ED052F5F2}" type="presParOf" srcId="{8EAE217A-5FA9-4017-9A1E-8AF2AFEDFB89}" destId="{119CBE19-8775-45DD-9289-C8DCC525F459}" srcOrd="0" destOrd="0" presId="urn:microsoft.com/office/officeart/2005/8/layout/hierarchy4"/>
    <dgm:cxn modelId="{386CA14A-D1CD-46D4-B435-FE51B39448D5}" type="presParOf" srcId="{119CBE19-8775-45DD-9289-C8DCC525F459}" destId="{1B74993E-EDA0-410C-9E46-6EB1877F7B79}" srcOrd="0" destOrd="0" presId="urn:microsoft.com/office/officeart/2005/8/layout/hierarchy4"/>
    <dgm:cxn modelId="{2B5EEB6B-8804-4FE4-904F-E4159CF31998}" type="presParOf" srcId="{119CBE19-8775-45DD-9289-C8DCC525F459}" destId="{8F21BBBC-8D2C-44BC-9091-CF3C16A8ECFF}" srcOrd="1" destOrd="0" presId="urn:microsoft.com/office/officeart/2005/8/layout/hierarchy4"/>
    <dgm:cxn modelId="{623DB508-A48B-4812-B21A-DBE498A0ECD0}" type="presParOf" srcId="{74A1ABA7-5342-4084-9D61-E3FD737720DA}" destId="{11087DCB-0FF0-4BE4-98F0-F79B53A0FE7D}" srcOrd="1" destOrd="0" presId="urn:microsoft.com/office/officeart/2005/8/layout/hierarchy4"/>
    <dgm:cxn modelId="{DB48703E-3A6A-4368-B655-7CAFDB97B19E}" type="presParOf" srcId="{74A1ABA7-5342-4084-9D61-E3FD737720DA}" destId="{1C67AE17-3F6A-4FD6-B814-2ADF095A291D}" srcOrd="2" destOrd="0" presId="urn:microsoft.com/office/officeart/2005/8/layout/hierarchy4"/>
    <dgm:cxn modelId="{DC05C084-3D0B-4F84-8871-1A576E62A8DE}" type="presParOf" srcId="{1C67AE17-3F6A-4FD6-B814-2ADF095A291D}" destId="{942E2A61-76F7-45AC-93E2-E377E9F39F28}" srcOrd="0" destOrd="0" presId="urn:microsoft.com/office/officeart/2005/8/layout/hierarchy4"/>
    <dgm:cxn modelId="{64CA97E6-48AF-4504-80CD-DE66E2EFD0BF}" type="presParOf" srcId="{1C67AE17-3F6A-4FD6-B814-2ADF095A291D}" destId="{8AF7C885-F52C-45DF-A570-905347FC74BE}" srcOrd="1" destOrd="0" presId="urn:microsoft.com/office/officeart/2005/8/layout/hierarchy4"/>
    <dgm:cxn modelId="{821BBAA6-5343-4F33-BECB-6104B89CA8CC}" type="presParOf" srcId="{1C67AE17-3F6A-4FD6-B814-2ADF095A291D}" destId="{E262CA1D-6C32-4E1B-8B9B-13B71DA4FD74}" srcOrd="2" destOrd="0" presId="urn:microsoft.com/office/officeart/2005/8/layout/hierarchy4"/>
    <dgm:cxn modelId="{CFD5535B-0215-4FDA-835F-E7E6D3333385}" type="presParOf" srcId="{E262CA1D-6C32-4E1B-8B9B-13B71DA4FD74}" destId="{CF827201-D6C2-4CAD-9B53-A918329E22BB}" srcOrd="0" destOrd="0" presId="urn:microsoft.com/office/officeart/2005/8/layout/hierarchy4"/>
    <dgm:cxn modelId="{89FA8279-B480-4FB7-9015-96C0959733C1}" type="presParOf" srcId="{CF827201-D6C2-4CAD-9B53-A918329E22BB}" destId="{8E8AA2D2-BAB2-4DD5-9055-DBA3F89E2CE1}" srcOrd="0" destOrd="0" presId="urn:microsoft.com/office/officeart/2005/8/layout/hierarchy4"/>
    <dgm:cxn modelId="{01F66AF4-9F2B-4DE8-9DC5-687D3954FF82}" type="presParOf" srcId="{CF827201-D6C2-4CAD-9B53-A918329E22BB}" destId="{2C8D12D6-449C-491F-943D-88EC9FE1D9E3}" srcOrd="1" destOrd="0" presId="urn:microsoft.com/office/officeart/2005/8/layout/hierarchy4"/>
    <dgm:cxn modelId="{7973CEB8-AB86-4990-B9B0-A1CF74C47553}" type="presParOf" srcId="{74A1ABA7-5342-4084-9D61-E3FD737720DA}" destId="{D2AE2F61-93CC-4A1D-BEDE-458A27C3AFD7}" srcOrd="3" destOrd="0" presId="urn:microsoft.com/office/officeart/2005/8/layout/hierarchy4"/>
    <dgm:cxn modelId="{306C3D3D-C37C-43ED-B408-3CAD29F83858}" type="presParOf" srcId="{74A1ABA7-5342-4084-9D61-E3FD737720DA}" destId="{B5FE5F31-96B5-4537-B639-EE5A974C0370}" srcOrd="4" destOrd="0" presId="urn:microsoft.com/office/officeart/2005/8/layout/hierarchy4"/>
    <dgm:cxn modelId="{2FEF5664-E399-4E96-B8AC-D62526E9C03D}" type="presParOf" srcId="{B5FE5F31-96B5-4537-B639-EE5A974C0370}" destId="{EA9C606B-6322-4E2C-8FCD-235D99617BD9}" srcOrd="0" destOrd="0" presId="urn:microsoft.com/office/officeart/2005/8/layout/hierarchy4"/>
    <dgm:cxn modelId="{00D3762D-BDB5-474F-A6B6-0FC2560B37B0}" type="presParOf" srcId="{B5FE5F31-96B5-4537-B639-EE5A974C0370}" destId="{F3AB04B2-36CD-4AE2-88B2-66A64012FCF3}" srcOrd="1" destOrd="0" presId="urn:microsoft.com/office/officeart/2005/8/layout/hierarchy4"/>
    <dgm:cxn modelId="{B888926F-CB8D-4DEC-82D7-A375B392417E}" type="presParOf" srcId="{B5FE5F31-96B5-4537-B639-EE5A974C0370}" destId="{7DC8002A-2F05-48D7-9F58-F586542D8A83}" srcOrd="2" destOrd="0" presId="urn:microsoft.com/office/officeart/2005/8/layout/hierarchy4"/>
    <dgm:cxn modelId="{874E1330-2B26-48FD-B467-1605F4D9EC03}" type="presParOf" srcId="{7DC8002A-2F05-48D7-9F58-F586542D8A83}" destId="{0F4CE540-C66A-4DDC-8777-03572DC798A3}" srcOrd="0" destOrd="0" presId="urn:microsoft.com/office/officeart/2005/8/layout/hierarchy4"/>
    <dgm:cxn modelId="{6A1A28A1-0E49-4122-988B-BB86630F0128}" type="presParOf" srcId="{0F4CE540-C66A-4DDC-8777-03572DC798A3}" destId="{35F2D484-8E7A-4B99-80C6-367ADFA6F587}" srcOrd="0" destOrd="0" presId="urn:microsoft.com/office/officeart/2005/8/layout/hierarchy4"/>
    <dgm:cxn modelId="{7C16F97A-73DD-4401-912B-2680ED7D34FC}" type="presParOf" srcId="{0F4CE540-C66A-4DDC-8777-03572DC798A3}" destId="{623F8914-B2E6-46AD-8FEC-4BBA90B77CA9}" srcOrd="1" destOrd="0" presId="urn:microsoft.com/office/officeart/2005/8/layout/hierarchy4"/>
    <dgm:cxn modelId="{9F969C99-AD96-475A-A167-4E3A7725D966}" type="presParOf" srcId="{74A1ABA7-5342-4084-9D61-E3FD737720DA}" destId="{7FF41717-268E-433A-9181-FB8E0F7CA402}" srcOrd="5" destOrd="0" presId="urn:microsoft.com/office/officeart/2005/8/layout/hierarchy4"/>
    <dgm:cxn modelId="{3668F058-057F-4786-A78A-B31011350C46}" type="presParOf" srcId="{74A1ABA7-5342-4084-9D61-E3FD737720DA}" destId="{F3C6378F-9A07-4AD6-9A64-DEE6BBC6C2CE}" srcOrd="6" destOrd="0" presId="urn:microsoft.com/office/officeart/2005/8/layout/hierarchy4"/>
    <dgm:cxn modelId="{AF89307E-B069-41CB-8B13-94BE840691F0}" type="presParOf" srcId="{F3C6378F-9A07-4AD6-9A64-DEE6BBC6C2CE}" destId="{0A2E0701-4374-4D55-AF14-97C2F0251092}" srcOrd="0" destOrd="0" presId="urn:microsoft.com/office/officeart/2005/8/layout/hierarchy4"/>
    <dgm:cxn modelId="{2C15E3B1-E098-4E86-8EEB-B9338C823748}" type="presParOf" srcId="{F3C6378F-9A07-4AD6-9A64-DEE6BBC6C2CE}" destId="{FBD208E4-F0FF-4F3B-BA23-15B23C3CC8E1}" srcOrd="1" destOrd="0" presId="urn:microsoft.com/office/officeart/2005/8/layout/hierarchy4"/>
    <dgm:cxn modelId="{49DB8D9B-FA22-4526-B3FF-84BD46A22A87}" type="presParOf" srcId="{F3C6378F-9A07-4AD6-9A64-DEE6BBC6C2CE}" destId="{2996C904-ED52-48DA-A9C4-D3021F589049}" srcOrd="2" destOrd="0" presId="urn:microsoft.com/office/officeart/2005/8/layout/hierarchy4"/>
    <dgm:cxn modelId="{CA3E6896-E390-4AD3-AD74-463681F82A5F}" type="presParOf" srcId="{2996C904-ED52-48DA-A9C4-D3021F589049}" destId="{B1564C42-B52D-4101-B668-B7F48CC302F7}" srcOrd="0" destOrd="0" presId="urn:microsoft.com/office/officeart/2005/8/layout/hierarchy4"/>
    <dgm:cxn modelId="{B419E11A-01A1-4BAB-A4A6-08E65C3F778B}" type="presParOf" srcId="{B1564C42-B52D-4101-B668-B7F48CC302F7}" destId="{B13CC8A6-B8EB-4E48-AB83-A7AFF09CA760}" srcOrd="0" destOrd="0" presId="urn:microsoft.com/office/officeart/2005/8/layout/hierarchy4"/>
    <dgm:cxn modelId="{B87CF071-EEF7-42EF-A816-16553BF9E901}" type="presParOf" srcId="{B1564C42-B52D-4101-B668-B7F48CC302F7}" destId="{1E4F4E57-6D46-479B-988A-91F4A4509FCB}" srcOrd="1" destOrd="0" presId="urn:microsoft.com/office/officeart/2005/8/layout/hierarchy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46A68C-72CB-4904-A1DC-6A3F43B5738C}">
      <dsp:nvSpPr>
        <dsp:cNvPr id="0" name=""/>
        <dsp:cNvSpPr/>
      </dsp:nvSpPr>
      <dsp:spPr>
        <a:xfrm rot="16200000">
          <a:off x="-949912" y="951234"/>
          <a:ext cx="3200400" cy="1297930"/>
        </a:xfrm>
        <a:prstGeom prst="flowChartManualOperati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-Власні кошти, державні субсидії, кредити, венчурний капітал, гранти, краудфандинг, іноземні інвестиції.</a:t>
          </a:r>
          <a:endParaRPr lang="ru-RU" sz="1400" kern="1200">
            <a:latin typeface="Times New Roman" panose="02020603050405020304" pitchFamily="18" charset="0"/>
            <a:cs typeface="Times New Roman" panose="02020603050405020304" pitchFamily="18" charset="0"/>
          </a:endParaRPr>
        </a:p>
      </dsp:txBody>
      <dsp:txXfrm rot="5400000">
        <a:off x="1323" y="640079"/>
        <a:ext cx="1297930" cy="1920240"/>
      </dsp:txXfrm>
    </dsp:sp>
    <dsp:sp modelId="{267CC2EE-0AA1-45C1-8061-0363AEEBA6E5}">
      <dsp:nvSpPr>
        <dsp:cNvPr id="0" name=""/>
        <dsp:cNvSpPr/>
      </dsp:nvSpPr>
      <dsp:spPr>
        <a:xfrm rot="16200000">
          <a:off x="445362" y="951234"/>
          <a:ext cx="3200400" cy="1297930"/>
        </a:xfrm>
        <a:prstGeom prst="flowChartManualOperati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a:t>
          </a:r>
          <a:r>
            <a:rPr lang="ru-RU" sz="1400" kern="1200">
              <a:latin typeface="Times New Roman" panose="02020603050405020304" pitchFamily="18" charset="0"/>
              <a:cs typeface="Times New Roman" panose="02020603050405020304" pitchFamily="18" charset="0"/>
            </a:rPr>
            <a:t>Кредити, лізинг, венчурне фінансування, державно-приватне партнерство (ДПП), податкові пільги.</a:t>
          </a:r>
        </a:p>
      </dsp:txBody>
      <dsp:txXfrm rot="5400000">
        <a:off x="1396597" y="640079"/>
        <a:ext cx="1297930" cy="1920240"/>
      </dsp:txXfrm>
    </dsp:sp>
    <dsp:sp modelId="{BBB80251-2D6D-4368-A87D-96DEA63E072D}">
      <dsp:nvSpPr>
        <dsp:cNvPr id="0" name=""/>
        <dsp:cNvSpPr/>
      </dsp:nvSpPr>
      <dsp:spPr>
        <a:xfrm rot="16200000">
          <a:off x="1840637" y="951234"/>
          <a:ext cx="3200400" cy="1297930"/>
        </a:xfrm>
        <a:prstGeom prst="flowChartManualOperati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-Внутрішні інноваційні фонди, підрозділи управління проєктами, зовнішні інституції (банки, венчурні фонди, державні агенції).</a:t>
          </a:r>
          <a:endParaRPr lang="ru-RU" sz="1400" kern="1200">
            <a:latin typeface="Times New Roman" panose="02020603050405020304" pitchFamily="18" charset="0"/>
            <a:cs typeface="Times New Roman" panose="02020603050405020304" pitchFamily="18" charset="0"/>
          </a:endParaRPr>
        </a:p>
      </dsp:txBody>
      <dsp:txXfrm rot="5400000">
        <a:off x="2791872" y="640079"/>
        <a:ext cx="1297930" cy="1920240"/>
      </dsp:txXfrm>
    </dsp:sp>
    <dsp:sp modelId="{FF51A4DF-1FA3-448A-8145-ACF0CDD0F642}">
      <dsp:nvSpPr>
        <dsp:cNvPr id="0" name=""/>
        <dsp:cNvSpPr/>
      </dsp:nvSpPr>
      <dsp:spPr>
        <a:xfrm rot="16200000">
          <a:off x="3235912" y="951234"/>
          <a:ext cx="3200400" cy="1297930"/>
        </a:xfrm>
        <a:prstGeom prst="flowChartManualOperati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a:t>
          </a:r>
          <a:r>
            <a:rPr lang="ru-RU" sz="1400" kern="1200">
              <a:latin typeface="Times New Roman" panose="02020603050405020304" pitchFamily="18" charset="0"/>
              <a:cs typeface="Times New Roman" panose="02020603050405020304" pitchFamily="18" charset="0"/>
            </a:rPr>
            <a:t>Закони, регуляторні акти, стимули для інвесторів.</a:t>
          </a:r>
        </a:p>
      </dsp:txBody>
      <dsp:txXfrm rot="5400000">
        <a:off x="4187147" y="640079"/>
        <a:ext cx="1297930" cy="1920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A15F06-033C-472E-85EC-73B7AF4DE4C4}">
      <dsp:nvSpPr>
        <dsp:cNvPr id="0" name=""/>
        <dsp:cNvSpPr/>
      </dsp:nvSpPr>
      <dsp:spPr>
        <a:xfrm>
          <a:off x="224596" y="701"/>
          <a:ext cx="8092827" cy="49122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0" kern="1200">
              <a:latin typeface="Times New Roman" panose="02020603050405020304" pitchFamily="18" charset="0"/>
              <a:cs typeface="Times New Roman" panose="02020603050405020304" pitchFamily="18" charset="0"/>
            </a:rPr>
            <a:t>Концепція удосконалення механізму фінансування інноваційної діяльності підприємства</a:t>
          </a:r>
          <a:endParaRPr lang="ru-RU" sz="1400" b="0" kern="1200">
            <a:latin typeface="Times New Roman" panose="02020603050405020304" pitchFamily="18" charset="0"/>
            <a:cs typeface="Times New Roman" panose="02020603050405020304" pitchFamily="18" charset="0"/>
          </a:endParaRPr>
        </a:p>
      </dsp:txBody>
      <dsp:txXfrm>
        <a:off x="238984" y="15089"/>
        <a:ext cx="8064051" cy="462451"/>
      </dsp:txXfrm>
    </dsp:sp>
    <dsp:sp modelId="{D7D72DB1-2068-47B2-8B09-6BE67E17A8DC}">
      <dsp:nvSpPr>
        <dsp:cNvPr id="0" name=""/>
        <dsp:cNvSpPr/>
      </dsp:nvSpPr>
      <dsp:spPr>
        <a:xfrm>
          <a:off x="280406" y="700390"/>
          <a:ext cx="1630726" cy="71293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Інноваційний фонд підприємства</a:t>
          </a:r>
        </a:p>
      </dsp:txBody>
      <dsp:txXfrm>
        <a:off x="301287" y="721271"/>
        <a:ext cx="1588964" cy="671177"/>
      </dsp:txXfrm>
    </dsp:sp>
    <dsp:sp modelId="{1B74993E-EDA0-410C-9E46-6EB1877F7B79}">
      <dsp:nvSpPr>
        <dsp:cNvPr id="0" name=""/>
        <dsp:cNvSpPr/>
      </dsp:nvSpPr>
      <dsp:spPr>
        <a:xfrm>
          <a:off x="10633" y="1666172"/>
          <a:ext cx="2152048" cy="214382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Формування фонду (5–10% прибутку, наприклад, 2,5–5 млн грн для компанії з прибутком 50 млн грн) для фінансування власних розробок і стартапів.  Підприємства спрямовують 5–10% прибутку (наприклад, 2,5–5 млн грн для компанії з прибутком 50 млн грн) на фінансування власних розробок або стартапів.</a:t>
          </a:r>
        </a:p>
      </dsp:txBody>
      <dsp:txXfrm>
        <a:off x="73424" y="1728963"/>
        <a:ext cx="2026466" cy="2018245"/>
      </dsp:txXfrm>
    </dsp:sp>
    <dsp:sp modelId="{942E2A61-76F7-45AC-93E2-E377E9F39F28}">
      <dsp:nvSpPr>
        <dsp:cNvPr id="0" name=""/>
        <dsp:cNvSpPr/>
      </dsp:nvSpPr>
      <dsp:spPr>
        <a:xfrm>
          <a:off x="2573977" y="722229"/>
          <a:ext cx="1703340" cy="75366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Краудфандинг</a:t>
          </a:r>
        </a:p>
      </dsp:txBody>
      <dsp:txXfrm>
        <a:off x="2596051" y="744303"/>
        <a:ext cx="1659192" cy="709513"/>
      </dsp:txXfrm>
    </dsp:sp>
    <dsp:sp modelId="{8E8AA2D2-BAB2-4DD5-9055-DBA3F89E2CE1}">
      <dsp:nvSpPr>
        <dsp:cNvPr id="0" name=""/>
        <dsp:cNvSpPr/>
      </dsp:nvSpPr>
      <dsp:spPr>
        <a:xfrm>
          <a:off x="2345410" y="1706192"/>
          <a:ext cx="2160475" cy="18343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Легалізація платформ (Kickstarter), залучення до 1 млн грн на проєкт, потенціал: 100 млн грн щорічно.</a:t>
          </a:r>
        </a:p>
      </dsp:txBody>
      <dsp:txXfrm>
        <a:off x="2399135" y="1759917"/>
        <a:ext cx="2053025" cy="1726856"/>
      </dsp:txXfrm>
    </dsp:sp>
    <dsp:sp modelId="{EA9C606B-6322-4E2C-8FCD-235D99617BD9}">
      <dsp:nvSpPr>
        <dsp:cNvPr id="0" name=""/>
        <dsp:cNvSpPr/>
      </dsp:nvSpPr>
      <dsp:spPr>
        <a:xfrm>
          <a:off x="4396759" y="746761"/>
          <a:ext cx="971371" cy="68856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ДПП</a:t>
          </a:r>
        </a:p>
      </dsp:txBody>
      <dsp:txXfrm>
        <a:off x="4416926" y="766928"/>
        <a:ext cx="931037" cy="648228"/>
      </dsp:txXfrm>
    </dsp:sp>
    <dsp:sp modelId="{35F2D484-8E7A-4B99-80C6-367ADFA6F587}">
      <dsp:nvSpPr>
        <dsp:cNvPr id="0" name=""/>
        <dsp:cNvSpPr/>
      </dsp:nvSpPr>
      <dsp:spPr>
        <a:xfrm>
          <a:off x="4740499" y="1747776"/>
          <a:ext cx="1500817" cy="20201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Співфінансування державою (30–50%) проєктів, наприклад, енергоефективне обладнання (4 млн грн – держава, 3 млн грн – венчурний капітал, 3 млн грн – власні кошти).Спрощення реєстрації фондів і податкові пільги для залучення до 500 млн грн щорічно.</a:t>
          </a:r>
        </a:p>
      </dsp:txBody>
      <dsp:txXfrm>
        <a:off x="4784456" y="1791733"/>
        <a:ext cx="1412903" cy="1932207"/>
      </dsp:txXfrm>
    </dsp:sp>
    <dsp:sp modelId="{0A2E0701-4374-4D55-AF14-97C2F0251092}">
      <dsp:nvSpPr>
        <dsp:cNvPr id="0" name=""/>
        <dsp:cNvSpPr/>
      </dsp:nvSpPr>
      <dsp:spPr>
        <a:xfrm>
          <a:off x="6528943" y="722229"/>
          <a:ext cx="1841913" cy="98280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Міжнародна кооперація</a:t>
          </a:r>
        </a:p>
      </dsp:txBody>
      <dsp:txXfrm>
        <a:off x="6557728" y="751014"/>
        <a:ext cx="1784343" cy="925233"/>
      </dsp:txXfrm>
    </dsp:sp>
    <dsp:sp modelId="{B13CC8A6-B8EB-4E48-AB83-A7AFF09CA760}">
      <dsp:nvSpPr>
        <dsp:cNvPr id="0" name=""/>
        <dsp:cNvSpPr/>
      </dsp:nvSpPr>
      <dsp:spPr>
        <a:xfrm>
          <a:off x="6369662" y="1935333"/>
          <a:ext cx="2160475" cy="18343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Залучення грантів ЄС (до 500 тис. євро) і кредитів ЄБРР для компенсації низького іноземного фінансування (1,2% у 2024 р.).</a:t>
          </a:r>
        </a:p>
      </dsp:txBody>
      <dsp:txXfrm>
        <a:off x="6423387" y="1989058"/>
        <a:ext cx="2053025" cy="1726856"/>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126</TotalTime>
  <Pages>11</Pages>
  <Words>7537</Words>
  <Characters>42967</Characters>
  <Application>Microsoft Office Word</Application>
  <DocSecurity>0</DocSecurity>
  <Lines>358</Lines>
  <Paragraphs>100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Мария</cp:lastModifiedBy>
  <cp:revision>10</cp:revision>
  <dcterms:created xsi:type="dcterms:W3CDTF">2025-05-13T15:35:00Z</dcterms:created>
  <dcterms:modified xsi:type="dcterms:W3CDTF">2025-10-04T20:17:00Z</dcterms:modified>
</cp:coreProperties>
</file>