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5C" w:rsidRPr="00DE14E3" w:rsidRDefault="00DE14E3" w:rsidP="00CE2C5C">
      <w:pPr>
        <w:widowControl w:val="0"/>
        <w:spacing w:after="0" w:line="360" w:lineRule="auto"/>
        <w:ind w:firstLine="708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val="en-US" w:bidi="uk-UA"/>
        </w:rPr>
      </w:pPr>
      <w:r w:rsidRPr="00DE14E3">
        <w:rPr>
          <w:rFonts w:ascii="Times New Roman" w:eastAsia="Courier New" w:hAnsi="Times New Roman"/>
          <w:b/>
          <w:color w:val="000000"/>
          <w:sz w:val="28"/>
          <w:szCs w:val="28"/>
          <w:lang w:val="en-US" w:bidi="uk-UA"/>
        </w:rPr>
        <w:t>QUANTUM-CHEMICAL MODELING OF DIMERIZATION OF COPPER ATOMS WITH PARTICIPATION OF MALEIC ACID IN THE PROCESS OF ELECTROREDUCTION</w:t>
      </w:r>
    </w:p>
    <w:p w:rsidR="00CE2C5C" w:rsidRPr="00DE14E3" w:rsidRDefault="00CE2C5C" w:rsidP="00CE2C5C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</w:p>
    <w:p w:rsidR="00C61BFB" w:rsidRPr="00DE14E3" w:rsidRDefault="00C61BFB" w:rsidP="00DA5242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One of the promising areas in electroplating is obtain</w:t>
      </w:r>
      <w:r w:rsidR="0070759B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ing</w:t>
      </w:r>
      <w:r w:rsidR="000154B9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</w:t>
      </w:r>
      <w:proofErr w:type="spellStart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nanodisperse</w:t>
      </w:r>
      <w:proofErr w:type="spellEnd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</w:t>
      </w:r>
      <w:proofErr w:type="spellStart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organometallic</w:t>
      </w:r>
      <w:proofErr w:type="spellEnd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coatings that have a </w:t>
      </w:r>
      <w:r w:rsidR="00714B0A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number of valuable properties [5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]. Among them, copper </w:t>
      </w:r>
      <w:proofErr w:type="spellStart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nanodispersed</w:t>
      </w:r>
      <w:proofErr w:type="spellEnd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coatings with an intercalated fractio</w:t>
      </w:r>
      <w:r w:rsidR="002A39A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n of the organic component [3, 1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] should be isolated, which, due to dπ-pπ-binding, can form stable compounds with Cu</w:t>
      </w:r>
      <w:r w:rsidRPr="00F733D1">
        <w:rPr>
          <w:rFonts w:ascii="Times New Roman" w:eastAsia="Courier New" w:hAnsi="Times New Roman"/>
          <w:color w:val="000000"/>
          <w:sz w:val="28"/>
          <w:szCs w:val="28"/>
          <w:vertAlign w:val="superscript"/>
          <w:lang w:val="en-US" w:bidi="uk-UA"/>
        </w:rPr>
        <w:t>0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and Cu</w:t>
      </w:r>
      <w:r w:rsidRPr="00F733D1">
        <w:rPr>
          <w:rFonts w:ascii="Times New Roman" w:eastAsia="Courier New" w:hAnsi="Times New Roman"/>
          <w:color w:val="000000"/>
          <w:sz w:val="28"/>
          <w:szCs w:val="28"/>
          <w:vertAlign w:val="superscript"/>
          <w:lang w:val="en-US" w:bidi="uk-UA"/>
        </w:rPr>
        <w:t>+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.</w:t>
      </w:r>
    </w:p>
    <w:p w:rsidR="00C61BFB" w:rsidRPr="00DE14E3" w:rsidRDefault="0070759B" w:rsidP="00F733D1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  <w:r w:rsidRPr="00F733D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The </w:t>
      </w:r>
      <w:r w:rsidR="00F733D1" w:rsidRPr="00F733D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energy of formation of copper clusters was studied in the process of </w:t>
      </w:r>
      <w:proofErr w:type="spellStart"/>
      <w:r w:rsidR="00F733D1" w:rsidRPr="00F733D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electrodeposition</w:t>
      </w:r>
      <w:proofErr w:type="spellEnd"/>
      <w:r w:rsidR="00F733D1" w:rsidRPr="00F733D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of copper ions from an aqueous solution in the presence or absence of unsaturated functionally substituted alkenes, in particular acrylic acid (</w:t>
      </w:r>
      <w:r w:rsidR="000958AF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H</w:t>
      </w:r>
      <w:r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AA</w:t>
      </w:r>
      <w:r w:rsidR="00F733D1" w:rsidRPr="00F733D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)</w:t>
      </w:r>
      <w:r w:rsidR="00BF19E7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[</w:t>
      </w:r>
      <w:r w:rsidR="00714B0A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6</w:t>
      </w:r>
      <w:r w:rsidR="00BF19E7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]</w:t>
      </w:r>
      <w:r w:rsidR="00F733D1" w:rsidRPr="00F733D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. It was established that its introduction into the internal coordination sphere leads to a decrease in the energy effects of the dimerization reactions:</w:t>
      </w:r>
    </w:p>
    <w:tbl>
      <w:tblPr>
        <w:tblStyle w:val="a4"/>
        <w:tblW w:w="0" w:type="auto"/>
        <w:jc w:val="center"/>
        <w:tblInd w:w="-1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76"/>
        <w:gridCol w:w="2051"/>
      </w:tblGrid>
      <w:tr w:rsidR="001B1CC1" w:rsidRPr="00DE14E3" w:rsidTr="004374BD">
        <w:trPr>
          <w:jc w:val="center"/>
        </w:trPr>
        <w:tc>
          <w:tcPr>
            <w:tcW w:w="5876" w:type="dxa"/>
          </w:tcPr>
          <w:p w:rsidR="001B1CC1" w:rsidRPr="00DE14E3" w:rsidRDefault="001B1CC1" w:rsidP="00775A13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</w:pP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>2[Cu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perscript"/>
                <w:lang w:val="en-US" w:bidi="uk-UA"/>
              </w:rPr>
              <w:t>0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>(H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en-US" w:bidi="uk-UA"/>
              </w:rPr>
              <w:t>2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 xml:space="preserve">O)] </w:t>
            </w:r>
            <w:r w:rsidRPr="00DE14E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bidi="uk-UA"/>
              </w:rPr>
              <w:t xml:space="preserve">→ 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>[Cu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perscript"/>
                <w:lang w:val="en-US" w:bidi="uk-UA"/>
              </w:rPr>
              <w:t>0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en-US" w:bidi="uk-UA"/>
              </w:rPr>
              <w:t>2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>(H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en-US" w:bidi="uk-UA"/>
              </w:rPr>
              <w:t>2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>O)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en-US" w:bidi="uk-UA"/>
              </w:rPr>
              <w:t>2</w:t>
            </w: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>]</w:t>
            </w:r>
          </w:p>
        </w:tc>
        <w:tc>
          <w:tcPr>
            <w:tcW w:w="2051" w:type="dxa"/>
          </w:tcPr>
          <w:p w:rsidR="001B1CC1" w:rsidRPr="00DE14E3" w:rsidRDefault="001B1CC1" w:rsidP="00775A13">
            <w:pPr>
              <w:widowControl w:val="0"/>
              <w:spacing w:line="360" w:lineRule="auto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</w:pP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 xml:space="preserve">−240,6 </w:t>
            </w:r>
            <w:r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</w:t>
            </w:r>
          </w:p>
        </w:tc>
      </w:tr>
      <w:tr w:rsidR="001B1CC1" w:rsidRPr="00DE14E3" w:rsidTr="004374BD">
        <w:trPr>
          <w:jc w:val="center"/>
        </w:trPr>
        <w:tc>
          <w:tcPr>
            <w:tcW w:w="5876" w:type="dxa"/>
          </w:tcPr>
          <w:p w:rsidR="001B1CC1" w:rsidRPr="00601761" w:rsidRDefault="001B1CC1" w:rsidP="004374BD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</w:pP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2[Cu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perscript"/>
                <w:lang w:val="pl-PL" w:bidi="uk-UA"/>
              </w:rPr>
              <w:t>0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(H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O)</w:t>
            </w:r>
            <w:r w:rsidR="004374BD" w:rsidRPr="00DE14E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bidi="uk-UA"/>
              </w:rPr>
              <w:t>π</w:t>
            </w:r>
            <w:r w:rsidR="000958AF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H</w:t>
            </w:r>
            <w:r w:rsidR="0070759B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AA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 xml:space="preserve">] </w:t>
            </w:r>
            <w:r w:rsidRPr="006017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pl-PL" w:bidi="uk-UA"/>
              </w:rPr>
              <w:t xml:space="preserve">→ 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[Cu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perscript"/>
                <w:lang w:val="pl-PL" w:bidi="uk-UA"/>
              </w:rPr>
              <w:t>0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(H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O)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="000958AF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(</w:t>
            </w:r>
            <w:r w:rsidR="004374BD" w:rsidRPr="00DE14E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bidi="uk-UA"/>
              </w:rPr>
              <w:t>π</w:t>
            </w:r>
            <w:r w:rsidR="000958AF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H</w:t>
            </w:r>
            <w:r w:rsidR="0070759B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AA</w:t>
            </w:r>
            <w:r w:rsidR="000958AF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)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]</w:t>
            </w:r>
          </w:p>
        </w:tc>
        <w:tc>
          <w:tcPr>
            <w:tcW w:w="2051" w:type="dxa"/>
          </w:tcPr>
          <w:p w:rsidR="001B1CC1" w:rsidRPr="00DE14E3" w:rsidRDefault="001B1CC1" w:rsidP="00775A13">
            <w:pPr>
              <w:widowControl w:val="0"/>
              <w:spacing w:line="360" w:lineRule="auto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</w:pPr>
            <w:r w:rsidRPr="00DE14E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bidi="uk-UA"/>
              </w:rPr>
              <w:t xml:space="preserve">−62,6 </w:t>
            </w:r>
            <w:r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</w:t>
            </w:r>
          </w:p>
        </w:tc>
      </w:tr>
      <w:tr w:rsidR="00DA5242" w:rsidRPr="00DE14E3" w:rsidTr="004374BD">
        <w:trPr>
          <w:jc w:val="center"/>
        </w:trPr>
        <w:tc>
          <w:tcPr>
            <w:tcW w:w="5876" w:type="dxa"/>
          </w:tcPr>
          <w:p w:rsidR="00DA5242" w:rsidRPr="00601761" w:rsidRDefault="00DA5242" w:rsidP="004374BD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</w:pP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2[Cu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perscript"/>
                <w:lang w:val="pl-PL" w:bidi="uk-UA"/>
              </w:rPr>
              <w:t>0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(H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O)</w:t>
            </w:r>
            <w:r w:rsidR="004374BD" w:rsidRPr="00DE14E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bidi="uk-UA"/>
              </w:rPr>
              <w:t>π</w:t>
            </w:r>
            <w:r w:rsidR="000958AF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H</w:t>
            </w:r>
            <w:r w:rsidR="0070759B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AA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 xml:space="preserve">] </w:t>
            </w:r>
            <w:r w:rsidRPr="006017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pl-PL" w:bidi="uk-UA"/>
              </w:rPr>
              <w:t xml:space="preserve">→ 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[Cu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perscript"/>
                <w:lang w:val="pl-PL" w:bidi="uk-UA"/>
              </w:rPr>
              <w:t>0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(H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O)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vertAlign w:val="subscript"/>
                <w:lang w:val="pl-PL" w:bidi="uk-UA"/>
              </w:rPr>
              <w:t>2</w:t>
            </w:r>
            <w:r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 xml:space="preserve">] </w:t>
            </w:r>
            <w:r w:rsidRPr="006017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pl-PL" w:bidi="uk-UA"/>
              </w:rPr>
              <w:t>+ 2</w:t>
            </w:r>
            <w:r w:rsidR="000958AF" w:rsidRPr="006017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pl-PL" w:bidi="uk-UA"/>
              </w:rPr>
              <w:t>H</w:t>
            </w:r>
            <w:r w:rsidR="0070759B" w:rsidRPr="00601761">
              <w:rPr>
                <w:rFonts w:ascii="Times New Roman" w:eastAsia="Courier New" w:hAnsi="Times New Roman"/>
                <w:color w:val="000000"/>
                <w:sz w:val="28"/>
                <w:szCs w:val="28"/>
                <w:lang w:val="pl-PL" w:bidi="uk-UA"/>
              </w:rPr>
              <w:t>AA</w:t>
            </w:r>
          </w:p>
        </w:tc>
        <w:tc>
          <w:tcPr>
            <w:tcW w:w="2051" w:type="dxa"/>
          </w:tcPr>
          <w:p w:rsidR="00DA5242" w:rsidRPr="00DE14E3" w:rsidRDefault="00DA5242" w:rsidP="002A11FC">
            <w:pPr>
              <w:widowControl w:val="0"/>
              <w:spacing w:line="360" w:lineRule="auto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</w:pPr>
            <w:r w:rsidRPr="00DE14E3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 w:bidi="uk-UA"/>
              </w:rPr>
              <w:t xml:space="preserve">−45,1 </w:t>
            </w:r>
            <w:r w:rsidR="002A11FC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</w:t>
            </w:r>
          </w:p>
        </w:tc>
      </w:tr>
    </w:tbl>
    <w:p w:rsidR="00C61BFB" w:rsidRPr="00DE14E3" w:rsidRDefault="00C61BFB" w:rsidP="00CA7813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It was also experimentally investigated that </w:t>
      </w:r>
      <w:proofErr w:type="spellStart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nano</w:t>
      </w:r>
      <w:proofErr w:type="spellEnd"/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-dispersed copper coatings are formed in the presence of acrylic or maleic acid (</w:t>
      </w:r>
      <w:r w:rsidR="004374B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H</w:t>
      </w:r>
      <w:r w:rsidR="004374BD" w:rsidRPr="004374BD">
        <w:rPr>
          <w:rFonts w:ascii="Times New Roman" w:eastAsia="Courier New" w:hAnsi="Times New Roman"/>
          <w:color w:val="000000"/>
          <w:sz w:val="28"/>
          <w:szCs w:val="28"/>
          <w:vertAlign w:val="subscript"/>
          <w:lang w:val="en-US" w:bidi="uk-UA"/>
        </w:rPr>
        <w:t>2</w:t>
      </w:r>
      <w:r w:rsidR="00BF19E7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MA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) in the cou</w:t>
      </w:r>
      <w:r w:rsidR="00D826B5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rse of electroreduction of copper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ions</w:t>
      </w:r>
      <w:r w:rsidR="00BF19E7"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[</w:t>
      </w:r>
      <w:r w:rsidR="002A39A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2</w:t>
      </w:r>
      <w:r w:rsidR="00BF19E7"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]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. But the initial stages of nucleation with the involvement of maleic acid are not sufficiently studied. Therefore, the purpose of </w:t>
      </w:r>
      <w:r w:rsidR="00BF19E7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this work was to conduct 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quantum-chemical modeling of influence of maleic acid on the dimerization of </w:t>
      </w:r>
      <w:r w:rsidR="00D826B5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copper</w:t>
      </w:r>
      <w:r w:rsidRPr="00DE14E3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atoms.</w:t>
      </w:r>
    </w:p>
    <w:p w:rsidR="00C61BFB" w:rsidRPr="00DE14E3" w:rsidRDefault="00B61904" w:rsidP="00C61BF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14E3">
        <w:rPr>
          <w:rFonts w:ascii="Times New Roman" w:hAnsi="Times New Roman" w:cs="Times New Roman"/>
          <w:sz w:val="28"/>
          <w:szCs w:val="28"/>
          <w:lang w:val="en-US"/>
        </w:rPr>
        <w:t>Modeling of</w:t>
      </w:r>
      <w:r w:rsidR="00BF19E7">
        <w:rPr>
          <w:rFonts w:ascii="Times New Roman" w:hAnsi="Times New Roman" w:cs="Times New Roman"/>
          <w:sz w:val="28"/>
          <w:szCs w:val="28"/>
          <w:lang w:val="en-US"/>
        </w:rPr>
        <w:t xml:space="preserve"> copper clusters was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 performed using B3LYP functional.  Solvation effects </w:t>
      </w:r>
      <w:r w:rsidR="00BF19E7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534D7">
        <w:rPr>
          <w:rFonts w:ascii="Times New Roman" w:hAnsi="Times New Roman" w:cs="Times New Roman"/>
          <w:sz w:val="28"/>
          <w:szCs w:val="28"/>
          <w:lang w:val="en-US"/>
        </w:rPr>
        <w:t>ak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en into account using polarization continuum model. </w:t>
      </w:r>
      <w:proofErr w:type="spellStart"/>
      <w:r w:rsidRPr="00DE14E3">
        <w:rPr>
          <w:rFonts w:ascii="Times New Roman" w:hAnsi="Times New Roman" w:cs="Times New Roman"/>
          <w:sz w:val="28"/>
          <w:szCs w:val="28"/>
          <w:lang w:val="en-US"/>
        </w:rPr>
        <w:t>Wachters+f</w:t>
      </w:r>
      <w:proofErr w:type="spellEnd"/>
      <w:r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 basis set </w:t>
      </w:r>
      <w:r w:rsidR="004534D7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t>used for copper atoms and 6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noBreakHyphen/>
      </w:r>
      <w:proofErr w:type="gramStart"/>
      <w:r w:rsidRPr="00DE14E3">
        <w:rPr>
          <w:rFonts w:ascii="Times New Roman" w:hAnsi="Times New Roman" w:cs="Times New Roman"/>
          <w:sz w:val="28"/>
          <w:szCs w:val="28"/>
          <w:lang w:val="en-US"/>
        </w:rPr>
        <w:t>311G(</w:t>
      </w:r>
      <w:proofErr w:type="spellStart"/>
      <w:proofErr w:type="gramEnd"/>
      <w:r w:rsidRPr="00DE14E3">
        <w:rPr>
          <w:rFonts w:ascii="Times New Roman" w:hAnsi="Times New Roman" w:cs="Times New Roman"/>
          <w:sz w:val="28"/>
          <w:szCs w:val="28"/>
          <w:lang w:val="en-US"/>
        </w:rPr>
        <w:t>d,p</w:t>
      </w:r>
      <w:proofErr w:type="spellEnd"/>
      <w:r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) basis set </w:t>
      </w:r>
      <w:r w:rsidR="004534D7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used for </w:t>
      </w:r>
      <w:r w:rsidR="00FF698E"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carbon, </w:t>
      </w:r>
      <w:r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hydrogen and oxygen atoms. </w:t>
      </w:r>
      <w:r w:rsidR="004534D7"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="00714B0A" w:rsidRPr="00714B0A">
        <w:rPr>
          <w:rFonts w:ascii="Times New Roman" w:hAnsi="Times New Roman" w:cs="Times New Roman"/>
          <w:sz w:val="28"/>
          <w:szCs w:val="28"/>
          <w:lang w:val="en-US"/>
        </w:rPr>
        <w:t>Bader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  <w:r w:rsidR="00714B0A">
        <w:rPr>
          <w:rFonts w:ascii="Times New Roman" w:hAnsi="Times New Roman" w:cs="Times New Roman"/>
          <w:sz w:val="28"/>
          <w:szCs w:val="28"/>
          <w:lang w:val="en-US"/>
        </w:rPr>
        <w:t xml:space="preserve"> [4]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>, a topological analysis of functions of the distr</w:t>
      </w:r>
      <w:r w:rsidR="006678D8">
        <w:rPr>
          <w:rFonts w:ascii="Times New Roman" w:hAnsi="Times New Roman" w:cs="Times New Roman"/>
          <w:sz w:val="28"/>
          <w:szCs w:val="28"/>
          <w:lang w:val="en-US"/>
        </w:rPr>
        <w:t>ibution of electronic density ρ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(r) was carried out, which allowed calculating the coupling energy of atoms of the </w:t>
      </w:r>
      <w:proofErr w:type="spellStart"/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61BFB" w:rsidRPr="00151C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151C20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>Cu-Cu</w:t>
      </w:r>
      <w:r w:rsidR="00151C20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61BFB" w:rsidRPr="00151C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 cluster, where </w:t>
      </w:r>
      <w:proofErr w:type="spellStart"/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678D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spellEnd"/>
      <w:r w:rsidR="006678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74B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374BD" w:rsidRPr="004374B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F19E7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6678D8">
        <w:rPr>
          <w:rFonts w:ascii="Times New Roman" w:hAnsi="Times New Roman" w:cs="Times New Roman"/>
          <w:sz w:val="28"/>
          <w:szCs w:val="28"/>
          <w:lang w:val="en-US"/>
        </w:rPr>
        <w:t xml:space="preserve"> and/or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="00C61BFB" w:rsidRPr="00151C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t xml:space="preserve">O. Calculations were made using the Gaussian and AIM2000 </w:t>
      </w:r>
      <w:r w:rsidR="00C61BFB" w:rsidRPr="00DE14E3">
        <w:rPr>
          <w:rFonts w:ascii="Times New Roman" w:hAnsi="Times New Roman" w:cs="Times New Roman"/>
          <w:sz w:val="28"/>
          <w:szCs w:val="28"/>
          <w:lang w:val="en-US"/>
        </w:rPr>
        <w:lastRenderedPageBreak/>
        <w:t>program.</w:t>
      </w:r>
    </w:p>
    <w:p w:rsidR="00DA5242" w:rsidRPr="00DE14E3" w:rsidRDefault="00151C20" w:rsidP="00C61BFB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  <w:r w:rsidRPr="00151C20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According to the simulation results, the </w:t>
      </w:r>
      <w:r w:rsidRPr="007B6634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energetics</w:t>
      </w:r>
      <w:r w:rsidRPr="00151C20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of the formation of dimers of copper atoms from </w:t>
      </w:r>
      <w:r w:rsidR="00713824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their</w:t>
      </w:r>
      <w:r w:rsidRPr="00151C20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π-complexes with maleic acid in the molecular form was calculated:</w:t>
      </w:r>
    </w:p>
    <w:tbl>
      <w:tblPr>
        <w:tblStyle w:val="a4"/>
        <w:tblW w:w="9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01"/>
        <w:gridCol w:w="2278"/>
      </w:tblGrid>
      <w:tr w:rsidR="00FA02E0" w:rsidRPr="00DE14E3" w:rsidTr="004374BD">
        <w:trPr>
          <w:trHeight w:val="480"/>
          <w:jc w:val="center"/>
        </w:trPr>
        <w:tc>
          <w:tcPr>
            <w:tcW w:w="7101" w:type="dxa"/>
            <w:hideMark/>
          </w:tcPr>
          <w:p w:rsidR="00FA02E0" w:rsidRPr="00601761" w:rsidRDefault="00FA02E0" w:rsidP="00FA02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2[Cu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O)</w:t>
            </w:r>
            <w:r w:rsidR="0043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→ 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O)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 xml:space="preserve">2 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+ 2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</w:p>
        </w:tc>
        <w:tc>
          <w:tcPr>
            <w:tcW w:w="2278" w:type="dxa"/>
            <w:noWrap/>
            <w:hideMark/>
          </w:tcPr>
          <w:p w:rsidR="00FA02E0" w:rsidRPr="00DE14E3" w:rsidRDefault="00FA02E0" w:rsidP="006B0FC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4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−1,64</w:t>
            </w:r>
            <w:r w:rsidR="006B0FCA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 (1)</w:t>
            </w:r>
          </w:p>
        </w:tc>
      </w:tr>
      <w:tr w:rsidR="00FA02E0" w:rsidRPr="00DE14E3" w:rsidTr="004374BD">
        <w:trPr>
          <w:trHeight w:val="480"/>
          <w:jc w:val="center"/>
        </w:trPr>
        <w:tc>
          <w:tcPr>
            <w:tcW w:w="7101" w:type="dxa"/>
            <w:hideMark/>
          </w:tcPr>
          <w:p w:rsidR="00FA02E0" w:rsidRPr="00601761" w:rsidRDefault="00FA02E0" w:rsidP="004374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2[Cu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→ 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O)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+ 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 xml:space="preserve"> + 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</w:p>
        </w:tc>
        <w:tc>
          <w:tcPr>
            <w:tcW w:w="2278" w:type="dxa"/>
            <w:noWrap/>
            <w:hideMark/>
          </w:tcPr>
          <w:p w:rsidR="00FA02E0" w:rsidRPr="00DE14E3" w:rsidRDefault="00FA02E0" w:rsidP="002A11F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4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15,39</w:t>
            </w:r>
            <w:r w:rsidR="006B0FCA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 (2)</w:t>
            </w:r>
          </w:p>
        </w:tc>
      </w:tr>
      <w:tr w:rsidR="00FA02E0" w:rsidRPr="00DE14E3" w:rsidTr="004374BD">
        <w:trPr>
          <w:trHeight w:val="480"/>
          <w:jc w:val="center"/>
        </w:trPr>
        <w:tc>
          <w:tcPr>
            <w:tcW w:w="7101" w:type="dxa"/>
            <w:hideMark/>
          </w:tcPr>
          <w:p w:rsidR="00FA02E0" w:rsidRPr="00601761" w:rsidRDefault="00FA02E0" w:rsidP="004374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2[Cu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→ 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+ 2H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</w:p>
        </w:tc>
        <w:tc>
          <w:tcPr>
            <w:tcW w:w="2278" w:type="dxa"/>
            <w:noWrap/>
            <w:hideMark/>
          </w:tcPr>
          <w:p w:rsidR="00FA02E0" w:rsidRPr="00DE14E3" w:rsidRDefault="00FA02E0" w:rsidP="002A11F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4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47,97</w:t>
            </w:r>
            <w:r w:rsidR="006B0FCA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 (3)</w:t>
            </w:r>
          </w:p>
        </w:tc>
      </w:tr>
      <w:tr w:rsidR="00FA02E0" w:rsidRPr="00DE14E3" w:rsidTr="004374BD">
        <w:trPr>
          <w:trHeight w:val="480"/>
          <w:jc w:val="center"/>
        </w:trPr>
        <w:tc>
          <w:tcPr>
            <w:tcW w:w="7101" w:type="dxa"/>
            <w:hideMark/>
          </w:tcPr>
          <w:p w:rsidR="00FA02E0" w:rsidRPr="00601761" w:rsidRDefault="00FA02E0" w:rsidP="004374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2[Cu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→ 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σ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mono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+ 2H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</w:p>
        </w:tc>
        <w:tc>
          <w:tcPr>
            <w:tcW w:w="2278" w:type="dxa"/>
            <w:noWrap/>
            <w:hideMark/>
          </w:tcPr>
          <w:p w:rsidR="00FA02E0" w:rsidRPr="00DE14E3" w:rsidRDefault="00FA02E0" w:rsidP="002A11F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4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32,56</w:t>
            </w:r>
            <w:r w:rsidR="006B0FCA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 (4)</w:t>
            </w:r>
          </w:p>
        </w:tc>
      </w:tr>
      <w:tr w:rsidR="00FA02E0" w:rsidRPr="00DE14E3" w:rsidTr="004374BD">
        <w:trPr>
          <w:trHeight w:val="585"/>
          <w:jc w:val="center"/>
        </w:trPr>
        <w:tc>
          <w:tcPr>
            <w:tcW w:w="7101" w:type="dxa"/>
            <w:hideMark/>
          </w:tcPr>
          <w:p w:rsidR="00FA02E0" w:rsidRPr="00601761" w:rsidRDefault="00FA02E0" w:rsidP="004374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2[Cu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 → [Cu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O)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(</w:t>
            </w:r>
            <w:r w:rsidRPr="00DE1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σ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mono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MA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)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]</w:t>
            </w:r>
          </w:p>
        </w:tc>
        <w:tc>
          <w:tcPr>
            <w:tcW w:w="2278" w:type="dxa"/>
            <w:noWrap/>
            <w:hideMark/>
          </w:tcPr>
          <w:p w:rsidR="00FA02E0" w:rsidRPr="00DE14E3" w:rsidRDefault="00FA02E0" w:rsidP="002A11F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4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11,70</w:t>
            </w:r>
            <w:r w:rsidR="006B0FCA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 (5)</w:t>
            </w:r>
          </w:p>
        </w:tc>
      </w:tr>
      <w:tr w:rsidR="00FA02E0" w:rsidRPr="00DE14E3" w:rsidTr="004374BD">
        <w:trPr>
          <w:trHeight w:val="205"/>
          <w:jc w:val="center"/>
        </w:trPr>
        <w:tc>
          <w:tcPr>
            <w:tcW w:w="7101" w:type="dxa"/>
            <w:hideMark/>
          </w:tcPr>
          <w:p w:rsidR="00FA02E0" w:rsidRPr="00601761" w:rsidRDefault="00FA02E0" w:rsidP="004374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</w:pP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2[Cu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O</w:t>
            </w:r>
            <w:r w:rsidR="004374BD"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)</w:t>
            </w:r>
            <w:r w:rsidRPr="00DE14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π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MA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] → [Cu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val="pl-PL"/>
              </w:rPr>
              <w:t>0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(H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O)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4374BD"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(</w:t>
            </w:r>
            <w:r w:rsidR="00CA7813" w:rsidRPr="00DE14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σ</w:t>
            </w:r>
            <w:r w:rsidR="00CA7813"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l-PL"/>
              </w:rPr>
              <w:t>bi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>H</w:t>
            </w:r>
            <w:r w:rsidR="004374BD" w:rsidRPr="0060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="00BF19E7"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MA</w:t>
            </w:r>
            <w:r w:rsidR="004374BD"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)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 w:rsidRPr="00601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l-PL"/>
              </w:rPr>
              <w:t>]</w:t>
            </w:r>
          </w:p>
        </w:tc>
        <w:tc>
          <w:tcPr>
            <w:tcW w:w="2278" w:type="dxa"/>
            <w:noWrap/>
            <w:hideMark/>
          </w:tcPr>
          <w:p w:rsidR="00FA02E0" w:rsidRPr="00DE14E3" w:rsidRDefault="00FA02E0" w:rsidP="002A11F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E14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−</w:t>
            </w:r>
            <w:r w:rsidRPr="00DE1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66,44</w:t>
            </w:r>
            <w:r w:rsidR="006B0FCA" w:rsidRPr="00DE14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kJ/mol(6)</w:t>
            </w:r>
          </w:p>
        </w:tc>
      </w:tr>
    </w:tbl>
    <w:p w:rsidR="00C61BFB" w:rsidRDefault="006678D8" w:rsidP="00E7070A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  <w:r w:rsidRPr="00151C20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According to the 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reaction of dimerization</w:t>
      </w:r>
      <w:r w:rsidR="00713824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,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it </w:t>
      </w:r>
      <w:r w:rsidR="00713824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can be observed 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that the introduction of </w:t>
      </w:r>
      <w:r w:rsidR="004374B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H</w:t>
      </w:r>
      <w:r w:rsidR="004374BD" w:rsidRPr="004374BD">
        <w:rPr>
          <w:rFonts w:ascii="Times New Roman" w:eastAsia="Courier New" w:hAnsi="Times New Roman"/>
          <w:color w:val="000000"/>
          <w:sz w:val="28"/>
          <w:szCs w:val="28"/>
          <w:vertAlign w:val="subscript"/>
          <w:lang w:val="en-US" w:bidi="uk-UA"/>
        </w:rPr>
        <w:t>2</w:t>
      </w:r>
      <w:r w:rsidR="00BF19E7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MA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leads to a more significant decrease in the energy effects of dimerization than the introduction of </w:t>
      </w:r>
      <w:r w:rsidR="004374B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H</w:t>
      </w:r>
      <w:r w:rsidR="0070759B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AA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. At the same time</w:t>
      </w:r>
      <w:r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,</w:t>
      </w:r>
      <w:r w:rsidR="002A39A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as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the investigated reactions</w:t>
      </w:r>
      <w:r w:rsidR="002A39A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show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, the best energy characteristic</w:t>
      </w:r>
      <w:r w:rsidR="00713824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>s</w:t>
      </w:r>
      <w:r w:rsidR="002A39AD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are performed</w:t>
      </w:r>
      <w:r w:rsidR="00377301" w:rsidRPr="00377301"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  <w:t xml:space="preserve"> in the reaction (6).</w:t>
      </w:r>
    </w:p>
    <w:p w:rsidR="002A39AD" w:rsidRPr="00DE14E3" w:rsidRDefault="002A39AD" w:rsidP="009D6B1C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val="en-US" w:bidi="uk-UA"/>
        </w:rPr>
      </w:pPr>
    </w:p>
    <w:p w:rsidR="009D6B1C" w:rsidRPr="00DE14E3" w:rsidRDefault="00713824" w:rsidP="00DA5242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val="en-US" w:bidi="uk-UA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val="en-US" w:bidi="uk-UA"/>
        </w:rPr>
        <w:t>References</w:t>
      </w:r>
    </w:p>
    <w:p w:rsidR="00CA7813" w:rsidRPr="00601761" w:rsidRDefault="002A39AD" w:rsidP="00CA781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1</w:t>
      </w:r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. 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Варгалюк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В.Ф.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Властивості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мідних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мікропорошків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електроосаджених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із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сульфатних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розчинів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що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містять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акрилову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кислоту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чи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акриламід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/ В.Ф.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Варгалюк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</w:t>
      </w:r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br/>
        <w:t xml:space="preserve">В. А.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Полонський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О. С.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Стець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//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Вісник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Дніпропетровського</w:t>
      </w:r>
      <w:proofErr w:type="spellEnd"/>
      <w:r w:rsid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університету</w:t>
      </w:r>
      <w:proofErr w:type="spellEnd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. </w:t>
      </w:r>
      <w:proofErr w:type="gram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Сер</w:t>
      </w:r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.:</w:t>
      </w:r>
      <w:proofErr w:type="gramEnd"/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Хімія</w:t>
      </w:r>
      <w:proofErr w:type="spellEnd"/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. – 2013. </w:t>
      </w:r>
      <w:proofErr w:type="gramStart"/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– </w:t>
      </w:r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Т</w:t>
      </w:r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. 21,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Вип</w:t>
      </w:r>
      <w:proofErr w:type="spellEnd"/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. 20.</w:t>
      </w:r>
      <w:proofErr w:type="gramEnd"/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– </w:t>
      </w:r>
      <w:proofErr w:type="gram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</w:t>
      </w:r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. 90</w:t>
      </w:r>
      <w:proofErr w:type="gramEnd"/>
      <w:r w:rsidR="00526C52" w:rsidRPr="00601761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–96.</w:t>
      </w:r>
    </w:p>
    <w:p w:rsidR="00526C52" w:rsidRPr="00713824" w:rsidRDefault="002A39AD" w:rsidP="00CA781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bidi="uk-UA"/>
        </w:rPr>
      </w:pPr>
      <w:bookmarkStart w:id="0" w:name="_GoBack"/>
      <w:bookmarkEnd w:id="0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2</w:t>
      </w:r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.</w:t>
      </w:r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 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Варгалюк</w:t>
      </w:r>
      <w:proofErr w:type="spellEnd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В.Ф.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Электроосаждение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меди в присутствии</w:t>
      </w:r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gramStart"/>
      <w:r w:rsidR="00526C52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π</w:t>
      </w:r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-</w:t>
      </w:r>
      <w:proofErr w:type="gramEnd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связывающих</w:t>
      </w:r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органических</w:t>
      </w:r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соединений /  В.Ф.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Варгалюк</w:t>
      </w:r>
      <w:proofErr w:type="spellEnd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, В.А. Полонский, О.С.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Стець</w:t>
      </w:r>
      <w:proofErr w:type="spellEnd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, А.І.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Щукін</w:t>
      </w:r>
      <w:proofErr w:type="spellEnd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// 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Сучасні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проблеми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електрохімії</w:t>
      </w:r>
      <w:proofErr w:type="spellEnd"/>
      <w:r w:rsidR="00526C52"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. – 2015. – С. 234 – 235.</w:t>
      </w:r>
    </w:p>
    <w:p w:rsidR="002A39AD" w:rsidRPr="00601761" w:rsidRDefault="002A39AD" w:rsidP="002A39A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bidi="uk-UA"/>
        </w:rPr>
      </w:pPr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3.</w:t>
      </w:r>
      <w:r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 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Мікробіологічні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властивості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дисперсії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на</w:t>
      </w:r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основі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міді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,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отриманої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катодним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осадженням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у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присутності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акрилової</w:t>
      </w:r>
      <w:proofErr w:type="spellEnd"/>
      <w:r w:rsidR="00601761"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кислоти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/ В.Ф.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Варгалюк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, В.А. Полонский, Н.Д.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Стець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, О.С.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Стець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, А.І.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Щукі</w:t>
      </w:r>
      <w:proofErr w:type="gram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н</w:t>
      </w:r>
      <w:proofErr w:type="spellEnd"/>
      <w:proofErr w:type="gram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 // </w:t>
      </w:r>
      <w:proofErr w:type="spellStart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Вісн</w:t>
      </w:r>
      <w:proofErr w:type="spellEnd"/>
      <w:r w:rsidRPr="00713824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. </w:t>
      </w:r>
      <w:proofErr w:type="spellStart"/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Дніпропетр</w:t>
      </w:r>
      <w:proofErr w:type="gramStart"/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>.у</w:t>
      </w:r>
      <w:proofErr w:type="gramEnd"/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>н-ту</w:t>
      </w:r>
      <w:proofErr w:type="spellEnd"/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. </w:t>
      </w:r>
      <w:proofErr w:type="spellStart"/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>СеріяХімія</w:t>
      </w:r>
      <w:proofErr w:type="spellEnd"/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t xml:space="preserve">. – 2014.– Т. 22.– № 2.– </w:t>
      </w:r>
      <w:r w:rsidRPr="00601761">
        <w:rPr>
          <w:rFonts w:ascii="Times New Roman" w:eastAsia="Courier New" w:hAnsi="Times New Roman"/>
          <w:color w:val="000000"/>
          <w:sz w:val="24"/>
          <w:szCs w:val="24"/>
          <w:lang w:bidi="uk-UA"/>
        </w:rPr>
        <w:br/>
        <w:t>С. 47–17.</w:t>
      </w:r>
    </w:p>
    <w:p w:rsidR="00714B0A" w:rsidRDefault="00714B0A" w:rsidP="002A39A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4. </w:t>
      </w:r>
      <w:r w:rsidRPr="00714B0A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Bader R. F. W. Nearsightedness of electronic matter as seen by a physicist and a chemist</w:t>
      </w: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/ </w:t>
      </w: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br/>
      </w:r>
      <w:r w:rsidRPr="00714B0A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R. F. W.Bader //The Journal of Physical Chemistry A. – 2008</w:t>
      </w: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. – </w:t>
      </w:r>
      <w:r w:rsidRPr="00714B0A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Vol</w:t>
      </w: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. 112.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– No. 51.</w:t>
      </w:r>
      <w:proofErr w:type="gramEnd"/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– С. 13717–</w:t>
      </w:r>
      <w:r w:rsidRPr="00714B0A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13728.</w:t>
      </w:r>
    </w:p>
    <w:p w:rsidR="002A39AD" w:rsidRPr="00DE14E3" w:rsidRDefault="00714B0A" w:rsidP="002A39A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  <w:r>
        <w:rPr>
          <w:rFonts w:ascii="Times New Roman" w:hAnsi="Times New Roman"/>
          <w:sz w:val="24"/>
          <w:szCs w:val="24"/>
          <w:lang w:val="en-US" w:bidi="uk-UA"/>
        </w:rPr>
        <w:t>5</w:t>
      </w:r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 xml:space="preserve">. Oliveira C.P.  </w:t>
      </w:r>
      <w:proofErr w:type="spellStart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>Nanostructured</w:t>
      </w:r>
      <w:proofErr w:type="spellEnd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 xml:space="preserve"> materials synthesized using electrochemical techniques/ C.P. Oliveira</w:t>
      </w:r>
      <w:proofErr w:type="gramStart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>,  R.G</w:t>
      </w:r>
      <w:proofErr w:type="gramEnd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proofErr w:type="spellStart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>Freitas</w:t>
      </w:r>
      <w:proofErr w:type="spellEnd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 xml:space="preserve"> et al. // </w:t>
      </w:r>
      <w:proofErr w:type="spellStart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>Weinheim</w:t>
      </w:r>
      <w:proofErr w:type="spellEnd"/>
      <w:r w:rsidR="002A39AD" w:rsidRPr="00DE14E3">
        <w:rPr>
          <w:rFonts w:ascii="Times New Roman" w:hAnsi="Times New Roman"/>
          <w:sz w:val="24"/>
          <w:szCs w:val="24"/>
          <w:lang w:val="en-US" w:bidi="uk-UA"/>
        </w:rPr>
        <w:t>: Wiley-VCH. – 2008.</w:t>
      </w:r>
    </w:p>
    <w:p w:rsidR="002A39AD" w:rsidRPr="00DE14E3" w:rsidRDefault="00714B0A" w:rsidP="002A39A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6</w:t>
      </w:r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. 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Vargaljuk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V. Copper crystallization from aqueous solution: initiation and evolution of the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polynuclear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clusters / V.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Vargaljuk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S.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Okovytyy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V.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Polonskyy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O.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Kramska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A.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Shchukin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, </w:t>
      </w:r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br/>
        <w:t xml:space="preserve">J.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Leszczynski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// J. </w:t>
      </w:r>
      <w:proofErr w:type="spell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Clust</w:t>
      </w:r>
      <w:proofErr w:type="spell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. </w:t>
      </w:r>
      <w:proofErr w:type="gramStart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>Sci. – 2016.</w:t>
      </w:r>
      <w:proofErr w:type="gramEnd"/>
      <w:r w:rsidR="002A39AD" w:rsidRPr="00DE14E3">
        <w:rPr>
          <w:rFonts w:ascii="Times New Roman" w:eastAsia="Courier New" w:hAnsi="Times New Roman"/>
          <w:color w:val="000000"/>
          <w:sz w:val="24"/>
          <w:szCs w:val="24"/>
          <w:lang w:val="en-US" w:bidi="uk-UA"/>
        </w:rPr>
        <w:t xml:space="preserve"> – DOI: 10.1007/s10876-017-1239-4.</w:t>
      </w:r>
    </w:p>
    <w:p w:rsidR="002A39AD" w:rsidRPr="00DE14E3" w:rsidRDefault="002A39AD" w:rsidP="00CA781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</w:p>
    <w:sectPr w:rsidR="002A39AD" w:rsidRPr="00DE14E3" w:rsidSect="00DA52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AA8"/>
    <w:multiLevelType w:val="hybridMultilevel"/>
    <w:tmpl w:val="DDAA3D2C"/>
    <w:lvl w:ilvl="0" w:tplc="3DFC428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6B1C"/>
    <w:rsid w:val="000154B9"/>
    <w:rsid w:val="000304AD"/>
    <w:rsid w:val="0004636A"/>
    <w:rsid w:val="0006758F"/>
    <w:rsid w:val="000764DF"/>
    <w:rsid w:val="000958AF"/>
    <w:rsid w:val="000C08D8"/>
    <w:rsid w:val="0011651B"/>
    <w:rsid w:val="00145192"/>
    <w:rsid w:val="00151C20"/>
    <w:rsid w:val="00167C08"/>
    <w:rsid w:val="001824AC"/>
    <w:rsid w:val="001B1CC1"/>
    <w:rsid w:val="001F50F4"/>
    <w:rsid w:val="001F598A"/>
    <w:rsid w:val="00205063"/>
    <w:rsid w:val="00266A27"/>
    <w:rsid w:val="002A11FC"/>
    <w:rsid w:val="002A39AD"/>
    <w:rsid w:val="002A7A7F"/>
    <w:rsid w:val="002D6A6E"/>
    <w:rsid w:val="00316423"/>
    <w:rsid w:val="00376137"/>
    <w:rsid w:val="00377301"/>
    <w:rsid w:val="00381EE5"/>
    <w:rsid w:val="003D52CF"/>
    <w:rsid w:val="004024E7"/>
    <w:rsid w:val="0042369E"/>
    <w:rsid w:val="004374BD"/>
    <w:rsid w:val="004534D7"/>
    <w:rsid w:val="0049128A"/>
    <w:rsid w:val="005032EF"/>
    <w:rsid w:val="00526C52"/>
    <w:rsid w:val="00531AF1"/>
    <w:rsid w:val="005C3B40"/>
    <w:rsid w:val="005D219C"/>
    <w:rsid w:val="00601761"/>
    <w:rsid w:val="006678D8"/>
    <w:rsid w:val="006B0FCA"/>
    <w:rsid w:val="006D7609"/>
    <w:rsid w:val="0070630D"/>
    <w:rsid w:val="0070759B"/>
    <w:rsid w:val="00713824"/>
    <w:rsid w:val="00714B0A"/>
    <w:rsid w:val="00726473"/>
    <w:rsid w:val="00732FAF"/>
    <w:rsid w:val="007B6634"/>
    <w:rsid w:val="00803DF1"/>
    <w:rsid w:val="008B73CB"/>
    <w:rsid w:val="008D5256"/>
    <w:rsid w:val="0090638F"/>
    <w:rsid w:val="00906AA5"/>
    <w:rsid w:val="0098666D"/>
    <w:rsid w:val="009937E6"/>
    <w:rsid w:val="009A7459"/>
    <w:rsid w:val="009D6B1C"/>
    <w:rsid w:val="00A6233E"/>
    <w:rsid w:val="00B36593"/>
    <w:rsid w:val="00B52C81"/>
    <w:rsid w:val="00B54435"/>
    <w:rsid w:val="00B61904"/>
    <w:rsid w:val="00BB7964"/>
    <w:rsid w:val="00BF19E7"/>
    <w:rsid w:val="00C61BFB"/>
    <w:rsid w:val="00C92EB6"/>
    <w:rsid w:val="00CA7813"/>
    <w:rsid w:val="00CC1223"/>
    <w:rsid w:val="00CC6C1F"/>
    <w:rsid w:val="00CE2C5C"/>
    <w:rsid w:val="00D826B5"/>
    <w:rsid w:val="00D95F58"/>
    <w:rsid w:val="00DA5242"/>
    <w:rsid w:val="00DD68E0"/>
    <w:rsid w:val="00DE14E3"/>
    <w:rsid w:val="00E7070A"/>
    <w:rsid w:val="00ED6015"/>
    <w:rsid w:val="00F0075F"/>
    <w:rsid w:val="00F14FB9"/>
    <w:rsid w:val="00F61BA3"/>
    <w:rsid w:val="00F63577"/>
    <w:rsid w:val="00F733D1"/>
    <w:rsid w:val="00FA02E0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B1C"/>
    <w:pPr>
      <w:ind w:left="720"/>
      <w:contextualSpacing/>
    </w:pPr>
    <w:rPr>
      <w:rFonts w:ascii="Calibri" w:eastAsia="Calibri" w:hAnsi="Calibri" w:cs="Times New Roman"/>
      <w:lang w:val="uk-UA" w:eastAsia="uk-UA"/>
    </w:rPr>
  </w:style>
  <w:style w:type="table" w:styleId="a4">
    <w:name w:val="Table Grid"/>
    <w:basedOn w:val="a1"/>
    <w:uiPriority w:val="59"/>
    <w:rsid w:val="009D6B1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678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78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78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78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78D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7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Chemcraft</dc:creator>
  <cp:lastModifiedBy>Dndz</cp:lastModifiedBy>
  <cp:revision>4</cp:revision>
  <dcterms:created xsi:type="dcterms:W3CDTF">2020-07-09T18:34:00Z</dcterms:created>
  <dcterms:modified xsi:type="dcterms:W3CDTF">2020-07-09T18:34:00Z</dcterms:modified>
</cp:coreProperties>
</file>