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505"/>
        <w:gridCol w:w="4840"/>
      </w:tblGrid>
      <w:tr w:rsidR="00950A40" w:rsidRPr="003E6351" w14:paraId="311561DD" w14:textId="77777777" w:rsidTr="00805786">
        <w:tc>
          <w:tcPr>
            <w:tcW w:w="206" w:type="pct"/>
            <w:shd w:val="clear" w:color="auto" w:fill="D3D3D3"/>
          </w:tcPr>
          <w:p w14:paraId="2E4B2D3C" w14:textId="77777777" w:rsidR="00950A40" w:rsidRPr="003E6351" w:rsidRDefault="00950A40"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w:t>
            </w:r>
          </w:p>
        </w:tc>
        <w:tc>
          <w:tcPr>
            <w:tcW w:w="2551" w:type="pct"/>
            <w:shd w:val="clear" w:color="auto" w:fill="D3D3D3"/>
          </w:tcPr>
          <w:p w14:paraId="151322ED" w14:textId="11A914F7" w:rsidR="00950A40" w:rsidRPr="003E6351" w:rsidRDefault="00950A40"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Оригинал</w:t>
            </w:r>
          </w:p>
        </w:tc>
        <w:tc>
          <w:tcPr>
            <w:tcW w:w="2243" w:type="pct"/>
            <w:shd w:val="clear" w:color="auto" w:fill="D3D3D3"/>
          </w:tcPr>
          <w:p w14:paraId="1A2FA68E" w14:textId="0CF55A5F" w:rsidR="00950A40" w:rsidRPr="003E6351" w:rsidRDefault="00950A40"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 xml:space="preserve">Перевод </w:t>
            </w:r>
          </w:p>
        </w:tc>
      </w:tr>
      <w:tr w:rsidR="000F3649" w:rsidRPr="00805786" w14:paraId="7F10DBF8" w14:textId="77777777" w:rsidTr="00805786">
        <w:trPr>
          <w:trHeight w:val="9727"/>
        </w:trPr>
        <w:tc>
          <w:tcPr>
            <w:tcW w:w="206" w:type="pct"/>
            <w:tcBorders>
              <w:right w:val="single" w:sz="4" w:space="0" w:color="000000"/>
            </w:tcBorders>
            <w:shd w:val="clear" w:color="auto" w:fill="D3D3D3"/>
          </w:tcPr>
          <w:p w14:paraId="18D5FE56" w14:textId="1DF148F7"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1</w:t>
            </w:r>
          </w:p>
        </w:tc>
        <w:tc>
          <w:tcPr>
            <w:tcW w:w="2551" w:type="pct"/>
            <w:tcBorders>
              <w:left w:val="single" w:sz="4" w:space="0" w:color="000000"/>
            </w:tcBorders>
            <w:shd w:val="clear" w:color="auto" w:fill="FFFFFF"/>
          </w:tcPr>
          <w:p w14:paraId="62C002C9" w14:textId="77777777"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TEXT 6</w:t>
            </w:r>
          </w:p>
          <w:p w14:paraId="7B37CBA8" w14:textId="77777777"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Згідно з останніми повідомленнями, Україна та Європейський союз парафіювали проект Угоди про торгівлю деякими видами сталеливарної продукції на період 10 років, відповідно до якого квоти на імпорт до ЄС української металопродукції будуть збільшені на 35 %.</w:t>
            </w:r>
          </w:p>
          <w:p w14:paraId="268CE8CA" w14:textId="77777777"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Як відмічається у прес-релізі українського МЗС, «домовленість», досягнута з ЄС стосовно розширення ринків збуту, може бути розцінена як суттєвий успіх у розвитку двосторонніх торгово-економічних відносин».</w:t>
            </w:r>
          </w:p>
          <w:p w14:paraId="06CB517F" w14:textId="77777777"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Як відмічав раніше міністр економіки та євроінтеграції, "угода є для нас суттєвою підтримкоє, адже Європа - це найбіль стабільний ринок споживання української металопродукції .</w:t>
            </w:r>
          </w:p>
          <w:p w14:paraId="41022CE2" w14:textId="77777777"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Між тим успіх на європейському напрямку також не слід переоцінювати.</w:t>
            </w:r>
          </w:p>
          <w:p w14:paraId="0B80B957" w14:textId="77777777"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Консультації стосовно збільшення квот на постачання металу до ЄС (як мінімум удвічі, тоді як зараз вони становлять близько 265 тисяч тонн прокату на рік) українська делегація почала в Брюсселі ще 26 березня.</w:t>
            </w:r>
          </w:p>
          <w:p w14:paraId="6452ECE9" w14:textId="77777777"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Підсумки переговорів далекі від очікуваних.</w:t>
            </w:r>
          </w:p>
          <w:p w14:paraId="7E76A43E" w14:textId="5C578A39" w:rsidR="000F3649" w:rsidRPr="003E6351" w:rsidRDefault="000F3649"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За думкою українських аналітиків, не останню роль тут зіграв той факт, що металургійні підприємства Європи, куди минулого року було експортовано 248 тисян тонн металопродукції , без особливого ентузіазму реагують на підвищення квот.</w:t>
            </w:r>
          </w:p>
        </w:tc>
        <w:tc>
          <w:tcPr>
            <w:tcW w:w="2243" w:type="pct"/>
            <w:tcBorders>
              <w:right w:val="single" w:sz="4" w:space="0" w:color="000000"/>
            </w:tcBorders>
            <w:shd w:val="clear" w:color="auto" w:fill="FFFFFF"/>
          </w:tcPr>
          <w:p w14:paraId="7F6440A2" w14:textId="77777777" w:rsidR="000F3649" w:rsidRPr="003E6351" w:rsidRDefault="000F3649"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t>TEXT 6</w:t>
            </w:r>
          </w:p>
          <w:p w14:paraId="44108302" w14:textId="077B6ED0" w:rsidR="000F3649" w:rsidRPr="003E6351" w:rsidRDefault="000F3649"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t xml:space="preserve">According to recent reports, Ukraine and the European Union have </w:t>
            </w:r>
            <w:r w:rsidR="00717BEE" w:rsidRPr="003E6351">
              <w:rPr>
                <w:rFonts w:asciiTheme="majorBidi" w:eastAsia="Arial Unicode MS" w:hAnsiTheme="majorBidi" w:cstheme="majorBidi"/>
                <w:sz w:val="20"/>
                <w:szCs w:val="20"/>
                <w:lang w:val="en-US"/>
              </w:rPr>
              <w:t>initialed</w:t>
            </w:r>
            <w:r w:rsidRPr="003E6351">
              <w:rPr>
                <w:rFonts w:asciiTheme="majorBidi" w:eastAsia="Arial Unicode MS" w:hAnsiTheme="majorBidi" w:cstheme="majorBidi"/>
                <w:sz w:val="20"/>
                <w:szCs w:val="20"/>
                <w:lang w:val="en-US"/>
              </w:rPr>
              <w:t xml:space="preserve"> a draft of Commercial Steel Manufacture Contract for a 10-year period, whereunder quotas of Ukrainian steel products import in the EU will be increased by 35 %.</w:t>
            </w:r>
          </w:p>
          <w:p w14:paraId="487EBCD1" w14:textId="77777777" w:rsidR="000F3649" w:rsidRPr="003E6351" w:rsidRDefault="000F3649"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t>The Agreement with the EU about market development may be deemed to be a substantial advance in bilateral commercial and economic relations development, as in press release of Ukrainian Ministry of Foreign Affairs was mentioned.</w:t>
            </w:r>
          </w:p>
          <w:p w14:paraId="411E76A4" w14:textId="77777777" w:rsidR="000F3649" w:rsidRPr="003E6351" w:rsidRDefault="000F3649"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t>'The Agreement is of substantial support for us, as Europe has the steadiest market for consumption of Ukrainian steel' -- Minister of Economic Affairs and European integration noticed.</w:t>
            </w:r>
          </w:p>
          <w:p w14:paraId="48BA4DD1" w14:textId="77777777" w:rsidR="000F3649" w:rsidRPr="003E6351" w:rsidRDefault="000F3649"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t>Meanwhile, success on the European course should not be overestimated either.</w:t>
            </w:r>
          </w:p>
          <w:p w14:paraId="2E481568" w14:textId="77777777" w:rsidR="000F3649" w:rsidRPr="003E6351" w:rsidRDefault="000F3649"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t>In Brussels on March 26 Ukrainian delegation enter into consultations about enlargement of the quota of steel supply to the EU (at least in twice amount, while now they conceive approximately 265 thousand tons of rolled products per year).</w:t>
            </w:r>
          </w:p>
          <w:p w14:paraId="1E69FF64" w14:textId="77777777" w:rsidR="000F3649" w:rsidRPr="003E6351" w:rsidRDefault="000F3649"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t>The results of negotiations were far from predicted ones.</w:t>
            </w:r>
          </w:p>
          <w:p w14:paraId="281EE133" w14:textId="77777777" w:rsidR="000F3649" w:rsidRPr="003E6351" w:rsidRDefault="000F3649"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t>According to Ukrainian analysts, the fact that iron and steel enterprises of Europe, imported 248 tons of steel production last year, didn't react enthusiastically on quotes enlargement, was due in no small part.</w:t>
            </w:r>
          </w:p>
          <w:p w14:paraId="2887DC08" w14:textId="6377532D" w:rsidR="007C3186" w:rsidRPr="003E6351" w:rsidRDefault="007C3186" w:rsidP="00717BEE">
            <w:pPr>
              <w:rPr>
                <w:rFonts w:asciiTheme="majorBidi" w:eastAsia="Arial Unicode MS" w:hAnsiTheme="majorBidi" w:cstheme="majorBidi"/>
                <w:sz w:val="20"/>
                <w:szCs w:val="20"/>
                <w:lang w:val="en-US"/>
              </w:rPr>
            </w:pPr>
          </w:p>
        </w:tc>
      </w:tr>
      <w:tr w:rsidR="00E447DE" w:rsidRPr="003E6351" w14:paraId="0CAEC39E" w14:textId="77777777" w:rsidTr="00805786">
        <w:trPr>
          <w:trHeight w:val="9727"/>
        </w:trPr>
        <w:tc>
          <w:tcPr>
            <w:tcW w:w="206" w:type="pct"/>
            <w:tcBorders>
              <w:right w:val="single" w:sz="4" w:space="0" w:color="000000"/>
            </w:tcBorders>
            <w:shd w:val="clear" w:color="auto" w:fill="D3D3D3"/>
          </w:tcPr>
          <w:p w14:paraId="5C6C0FA2" w14:textId="31478CA9" w:rsidR="00E447DE" w:rsidRPr="003E6351" w:rsidRDefault="006A7127"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lastRenderedPageBreak/>
              <w:t>2</w:t>
            </w:r>
          </w:p>
        </w:tc>
        <w:tc>
          <w:tcPr>
            <w:tcW w:w="2551" w:type="pct"/>
            <w:tcBorders>
              <w:left w:val="single" w:sz="4" w:space="0" w:color="000000"/>
            </w:tcBorders>
            <w:shd w:val="clear" w:color="auto" w:fill="FFFFFF"/>
          </w:tcPr>
          <w:p w14:paraId="63BCAC98" w14:textId="77777777" w:rsidR="00BA6DBD" w:rsidRPr="003E6351" w:rsidRDefault="00BA6DBD" w:rsidP="00717BEE">
            <w:pPr>
              <w:ind w:firstLine="313"/>
              <w:jc w:val="both"/>
              <w:rPr>
                <w:rFonts w:asciiTheme="majorBidi" w:hAnsiTheme="majorBidi" w:cstheme="majorBidi"/>
                <w:sz w:val="20"/>
                <w:szCs w:val="20"/>
                <w:lang w:val="uk-UA"/>
              </w:rPr>
            </w:pPr>
            <w:r w:rsidRPr="003E6351">
              <w:rPr>
                <w:rFonts w:asciiTheme="majorBidi" w:hAnsiTheme="majorBidi" w:cstheme="majorBidi"/>
                <w:sz w:val="20"/>
                <w:szCs w:val="20"/>
                <w:lang w:val="uk-UA"/>
              </w:rPr>
              <w:t>NATO only owns and operates a limited number of space assets, but space assets owned and operated by NATO nations and commercial entities can provide a range of capabilities that integrate into mission planning and execution at all levels of warfare. Capabilities and products facilitated by space assets include space battlefield characterization; intelligence, surveillance and reconnaissance (ISR); environmental and space weather monitoring; satellite communications (SATCOM); friendly force situational awareness; global positioning and navigation (POSNAV) services; and early warning systems. A significant portion of space support will be made available from outside the operational area. The JFC will either manage space resources within the command through his staff or will designate a component to perform the function.</w:t>
            </w:r>
          </w:p>
          <w:p w14:paraId="58363901" w14:textId="77777777" w:rsidR="00BA6DBD" w:rsidRPr="003E6351" w:rsidRDefault="00BA6DBD" w:rsidP="00717BEE">
            <w:pPr>
              <w:ind w:firstLine="313"/>
              <w:jc w:val="both"/>
              <w:rPr>
                <w:rFonts w:asciiTheme="majorBidi" w:hAnsiTheme="majorBidi" w:cstheme="majorBidi"/>
                <w:sz w:val="20"/>
                <w:szCs w:val="20"/>
                <w:lang w:val="uk-UA"/>
              </w:rPr>
            </w:pPr>
            <w:r w:rsidRPr="003E6351">
              <w:rPr>
                <w:rFonts w:asciiTheme="majorBidi" w:hAnsiTheme="majorBidi" w:cstheme="majorBidi"/>
                <w:sz w:val="20"/>
                <w:szCs w:val="20"/>
                <w:lang w:val="uk-UA"/>
              </w:rPr>
              <w:t>The NATO special operations forces (SOF) are organized in a joint manner with aviation, maritime, and land units from the troop contributing nations (TCNs), constituting a mission- specific combined joint force special operations component command (CJFSOCC), with a joint staff to plan and direct special operations. SOF offers the Alliance an additional and unique capability to achieve military objectives and perform tasks that no other forces in NATO are able to conduct while creating strategic effects. If, however, they perform tasks that may be conducted by other Alliance forces, they do so to a unique set of conditions and standards.</w:t>
            </w:r>
          </w:p>
          <w:p w14:paraId="38A097F6" w14:textId="77777777" w:rsidR="00E447DE" w:rsidRPr="003E6351" w:rsidRDefault="00E447DE" w:rsidP="00717BEE">
            <w:pPr>
              <w:rPr>
                <w:rFonts w:asciiTheme="majorBidi" w:eastAsia="Arial Unicode MS" w:hAnsiTheme="majorBidi" w:cstheme="majorBidi"/>
                <w:sz w:val="20"/>
                <w:szCs w:val="20"/>
                <w:lang w:val="uk-UA"/>
              </w:rPr>
            </w:pPr>
          </w:p>
        </w:tc>
        <w:tc>
          <w:tcPr>
            <w:tcW w:w="2243" w:type="pct"/>
            <w:tcBorders>
              <w:right w:val="single" w:sz="4" w:space="0" w:color="000000"/>
            </w:tcBorders>
            <w:shd w:val="clear" w:color="auto" w:fill="FFFFFF"/>
          </w:tcPr>
          <w:p w14:paraId="2AC58F9E" w14:textId="77777777" w:rsidR="0063542A" w:rsidRPr="003E6351" w:rsidRDefault="0063542A"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lang w:val="uk-UA"/>
              </w:rPr>
              <w:t>НАТО володіє і керує лише обмеженою кількістю космічних систем, проте космічні системи, що належать країнам-учасницям НАТО і комерційним організаціям, можуть забезпечити широкий спектр можливостей, включаючи планування бойових завдань та їх виконання на всіх рівнях ведення бойових дій. Можливості та результати, досягнуті за допомогою космічних систем включають характеристику космічного простору для бойових дій; отримання розвідданих, спостереження та військову розвідку (</w:t>
            </w:r>
            <w:r w:rsidRPr="003E6351">
              <w:rPr>
                <w:rFonts w:asciiTheme="majorBidi" w:eastAsia="Arial Unicode MS" w:hAnsiTheme="majorBidi" w:cstheme="majorBidi"/>
                <w:sz w:val="20"/>
                <w:szCs w:val="20"/>
                <w:lang w:val="en-US"/>
              </w:rPr>
              <w:t>ISR</w:t>
            </w:r>
            <w:r w:rsidRPr="003E6351">
              <w:rPr>
                <w:rFonts w:asciiTheme="majorBidi" w:eastAsia="Arial Unicode MS" w:hAnsiTheme="majorBidi" w:cstheme="majorBidi"/>
                <w:sz w:val="20"/>
                <w:szCs w:val="20"/>
                <w:lang w:val="uk-UA"/>
              </w:rPr>
              <w:t>); моніторинг довкілля та космічної погоди; супутниковий зв'язок (</w:t>
            </w:r>
            <w:r w:rsidRPr="003E6351">
              <w:rPr>
                <w:rFonts w:asciiTheme="majorBidi" w:eastAsia="Arial Unicode MS" w:hAnsiTheme="majorBidi" w:cstheme="majorBidi"/>
                <w:sz w:val="20"/>
                <w:szCs w:val="20"/>
                <w:lang w:val="en-US"/>
              </w:rPr>
              <w:t>SATCOM</w:t>
            </w:r>
            <w:r w:rsidRPr="003E6351">
              <w:rPr>
                <w:rFonts w:asciiTheme="majorBidi" w:eastAsia="Arial Unicode MS" w:hAnsiTheme="majorBidi" w:cstheme="majorBidi"/>
                <w:sz w:val="20"/>
                <w:szCs w:val="20"/>
                <w:lang w:val="uk-UA"/>
              </w:rPr>
              <w:t>); знання обстановки дружніх сил; сервіси глобального позиціонування і орієнтування (</w:t>
            </w:r>
            <w:r w:rsidRPr="003E6351">
              <w:rPr>
                <w:rFonts w:asciiTheme="majorBidi" w:eastAsia="Arial Unicode MS" w:hAnsiTheme="majorBidi" w:cstheme="majorBidi"/>
                <w:sz w:val="20"/>
                <w:szCs w:val="20"/>
                <w:lang w:val="en-US"/>
              </w:rPr>
              <w:t>POSNAV</w:t>
            </w:r>
            <w:r w:rsidRPr="003E6351">
              <w:rPr>
                <w:rFonts w:asciiTheme="majorBidi" w:eastAsia="Arial Unicode MS" w:hAnsiTheme="majorBidi" w:cstheme="majorBidi"/>
                <w:sz w:val="20"/>
                <w:szCs w:val="20"/>
                <w:lang w:val="uk-UA"/>
              </w:rPr>
              <w:t xml:space="preserve">) і системи раннього виявлення. </w:t>
            </w:r>
            <w:r w:rsidRPr="003E6351">
              <w:rPr>
                <w:rFonts w:asciiTheme="majorBidi" w:eastAsia="Arial Unicode MS" w:hAnsiTheme="majorBidi" w:cstheme="majorBidi"/>
                <w:sz w:val="20"/>
                <w:szCs w:val="20"/>
              </w:rPr>
              <w:t>Значна частина космічної підтримки буде надаватися за межами району бойових дій. Командувач Об'єднаних Сил (</w:t>
            </w:r>
            <w:r w:rsidRPr="003E6351">
              <w:rPr>
                <w:rFonts w:asciiTheme="majorBidi" w:eastAsia="Arial Unicode MS" w:hAnsiTheme="majorBidi" w:cstheme="majorBidi"/>
                <w:sz w:val="20"/>
                <w:szCs w:val="20"/>
                <w:lang w:val="en-US"/>
              </w:rPr>
              <w:t>JFC</w:t>
            </w:r>
            <w:r w:rsidRPr="003E6351">
              <w:rPr>
                <w:rFonts w:asciiTheme="majorBidi" w:eastAsia="Arial Unicode MS" w:hAnsiTheme="majorBidi" w:cstheme="majorBidi"/>
                <w:sz w:val="20"/>
                <w:szCs w:val="20"/>
              </w:rPr>
              <w:t>) буде здійснювати керування космічними засобами у підрозділі через свій підпорядкований особовий склад, або призначивши формування для виконання цієї функції.</w:t>
            </w:r>
          </w:p>
          <w:p w14:paraId="03F2979B" w14:textId="019FC429" w:rsidR="00E447DE" w:rsidRPr="003E6351" w:rsidRDefault="0063542A"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t>Сили Спеціальних операцій НАТО (</w:t>
            </w:r>
            <w:r w:rsidRPr="003E6351">
              <w:rPr>
                <w:rFonts w:asciiTheme="majorBidi" w:eastAsia="Arial Unicode MS" w:hAnsiTheme="majorBidi" w:cstheme="majorBidi"/>
                <w:sz w:val="20"/>
                <w:szCs w:val="20"/>
                <w:lang w:val="en-US"/>
              </w:rPr>
              <w:t>SOF</w:t>
            </w:r>
            <w:r w:rsidRPr="003E6351">
              <w:rPr>
                <w:rFonts w:asciiTheme="majorBidi" w:eastAsia="Arial Unicode MS" w:hAnsiTheme="majorBidi" w:cstheme="majorBidi"/>
                <w:sz w:val="20"/>
                <w:szCs w:val="20"/>
              </w:rPr>
              <w:t>) організовані спільно з авіаційними, морськими і сухопутними підрозділами країн, що надають війська (</w:t>
            </w:r>
            <w:r w:rsidRPr="003E6351">
              <w:rPr>
                <w:rFonts w:asciiTheme="majorBidi" w:eastAsia="Arial Unicode MS" w:hAnsiTheme="majorBidi" w:cstheme="majorBidi"/>
                <w:sz w:val="20"/>
                <w:szCs w:val="20"/>
                <w:lang w:val="en-US"/>
              </w:rPr>
              <w:t>TCN</w:t>
            </w:r>
            <w:r w:rsidRPr="003E6351">
              <w:rPr>
                <w:rFonts w:asciiTheme="majorBidi" w:eastAsia="Arial Unicode MS" w:hAnsiTheme="majorBidi" w:cstheme="majorBidi"/>
                <w:sz w:val="20"/>
                <w:szCs w:val="20"/>
              </w:rPr>
              <w:t>), які являють собою Об'єднані Спільні Сили Спеціальних Операцій (</w:t>
            </w:r>
            <w:r w:rsidRPr="003E6351">
              <w:rPr>
                <w:rFonts w:asciiTheme="majorBidi" w:eastAsia="Arial Unicode MS" w:hAnsiTheme="majorBidi" w:cstheme="majorBidi"/>
                <w:sz w:val="20"/>
                <w:szCs w:val="20"/>
                <w:lang w:val="en-US"/>
              </w:rPr>
              <w:t>CLFSOSC</w:t>
            </w:r>
            <w:r w:rsidRPr="003E6351">
              <w:rPr>
                <w:rFonts w:asciiTheme="majorBidi" w:eastAsia="Arial Unicode MS" w:hAnsiTheme="majorBidi" w:cstheme="majorBidi"/>
                <w:sz w:val="20"/>
                <w:szCs w:val="20"/>
              </w:rPr>
              <w:t>), з уніфікованим персоналом призначеним для планування і ведення спеціальних операцій. Сили Спеціальних Операцій (</w:t>
            </w:r>
            <w:r w:rsidRPr="003E6351">
              <w:rPr>
                <w:rFonts w:asciiTheme="majorBidi" w:eastAsia="Arial Unicode MS" w:hAnsiTheme="majorBidi" w:cstheme="majorBidi"/>
                <w:sz w:val="20"/>
                <w:szCs w:val="20"/>
                <w:lang w:val="en-US"/>
              </w:rPr>
              <w:t>SOF</w:t>
            </w:r>
            <w:r w:rsidRPr="003E6351">
              <w:rPr>
                <w:rFonts w:asciiTheme="majorBidi" w:eastAsia="Arial Unicode MS" w:hAnsiTheme="majorBidi" w:cstheme="majorBidi"/>
                <w:sz w:val="20"/>
                <w:szCs w:val="20"/>
              </w:rPr>
              <w:t>) пропонують Об’єднанню додаткову та унікальну можливість досягнення військових цілей і виконання завдань, оперативні результати яких інші сили НАТО не спроможні досягти. Якщо ж вони виконують завдання, які інші сили Об’єднання можуть виконати, то вони роблять це за допомогою унікального набору умов і встановлених вимог.</w:t>
            </w:r>
          </w:p>
        </w:tc>
      </w:tr>
      <w:tr w:rsidR="000A2789" w:rsidRPr="00805786" w14:paraId="5D9BFB96" w14:textId="77777777" w:rsidTr="00805786">
        <w:trPr>
          <w:trHeight w:val="9727"/>
        </w:trPr>
        <w:tc>
          <w:tcPr>
            <w:tcW w:w="206" w:type="pct"/>
            <w:tcBorders>
              <w:right w:val="single" w:sz="4" w:space="0" w:color="000000"/>
            </w:tcBorders>
            <w:shd w:val="clear" w:color="auto" w:fill="D3D3D3"/>
          </w:tcPr>
          <w:p w14:paraId="608D3186" w14:textId="20EBEC63" w:rsidR="000A2789" w:rsidRPr="003E6351" w:rsidRDefault="006A7127"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lastRenderedPageBreak/>
              <w:t>3</w:t>
            </w:r>
          </w:p>
        </w:tc>
        <w:tc>
          <w:tcPr>
            <w:tcW w:w="2551" w:type="pct"/>
            <w:tcBorders>
              <w:left w:val="single" w:sz="4" w:space="0" w:color="000000"/>
            </w:tcBorders>
            <w:shd w:val="clear" w:color="auto" w:fill="FFFFFF"/>
          </w:tcPr>
          <w:p w14:paraId="440F8E1F" w14:textId="77777777" w:rsidR="000A2789" w:rsidRPr="003E6351" w:rsidRDefault="000A2789" w:rsidP="00717BEE">
            <w:pPr>
              <w:jc w:val="both"/>
              <w:rPr>
                <w:rFonts w:asciiTheme="majorBidi" w:hAnsiTheme="majorBidi" w:cstheme="majorBidi"/>
                <w:sz w:val="20"/>
                <w:szCs w:val="20"/>
                <w:lang w:val="uk-UA"/>
              </w:rPr>
            </w:pPr>
            <w:r w:rsidRPr="003E6351">
              <w:rPr>
                <w:rFonts w:asciiTheme="majorBidi" w:hAnsiTheme="majorBidi" w:cstheme="majorBidi"/>
                <w:sz w:val="20"/>
                <w:szCs w:val="20"/>
                <w:lang w:val="uk-UA"/>
              </w:rPr>
              <w:t>Перемога в Україні демократичних сил і розгортання активного політичного та економічного співробітництва з Європейським Союзом, відновлення діалогу про приєднання до НАТО в умовах тимчасової окупації Російською Федерацією території України, агресії Російської Федерації проти України та її спроб перерозподілу сфер контролю над акваторією Азовського і Чорного морів, необхідність прискорення процесу виходу держави з довготривалої системної кризи потребують оновлення напрямів розвитку України як морської держави. В умовах радикальних змін геополітичної, воєнно-політичної та економічної обстановки у світі виникла потреба в оновленні Морської доктрини України.</w:t>
            </w:r>
          </w:p>
          <w:p w14:paraId="23CC12EE" w14:textId="77777777" w:rsidR="000A2789" w:rsidRPr="003E6351" w:rsidRDefault="000A2789" w:rsidP="00717BEE">
            <w:pPr>
              <w:ind w:firstLine="567"/>
              <w:jc w:val="both"/>
              <w:rPr>
                <w:rFonts w:asciiTheme="majorBidi" w:hAnsiTheme="majorBidi" w:cstheme="majorBidi"/>
                <w:sz w:val="20"/>
                <w:szCs w:val="20"/>
                <w:lang w:val="uk-UA"/>
              </w:rPr>
            </w:pPr>
            <w:r w:rsidRPr="003E6351">
              <w:rPr>
                <w:rFonts w:asciiTheme="majorBidi" w:hAnsiTheme="majorBidi" w:cstheme="majorBidi"/>
                <w:sz w:val="20"/>
                <w:szCs w:val="20"/>
                <w:lang w:val="uk-UA"/>
              </w:rPr>
              <w:t>На сучасному етапі становлення України особливого значення набуває фактор утвердження її як морської держави, виходячи з її просторових і геофізичних особливостей, місця та ролі у глобальній та регіональній системі міжнародних відносин. Україна здобула статус морської держави, зробивши вагомий внесок у розвиток мореплавства та вивчення Світового океану, а також завдяки сприятливому географічному положенню, зокрема, довжині морського узбережжя та площі водного простору.</w:t>
            </w:r>
          </w:p>
          <w:p w14:paraId="66FEFBDE" w14:textId="77777777" w:rsidR="000A2789" w:rsidRPr="003E6351" w:rsidRDefault="000A2789" w:rsidP="00717BEE">
            <w:pPr>
              <w:ind w:firstLine="567"/>
              <w:jc w:val="both"/>
              <w:rPr>
                <w:rFonts w:asciiTheme="majorBidi" w:hAnsiTheme="majorBidi" w:cstheme="majorBidi"/>
                <w:sz w:val="20"/>
                <w:szCs w:val="20"/>
                <w:lang w:val="uk-UA"/>
              </w:rPr>
            </w:pPr>
            <w:r w:rsidRPr="003E6351">
              <w:rPr>
                <w:rFonts w:asciiTheme="majorBidi" w:hAnsiTheme="majorBidi" w:cstheme="majorBidi"/>
                <w:sz w:val="20"/>
                <w:szCs w:val="20"/>
                <w:lang w:val="uk-UA"/>
              </w:rPr>
              <w:t>Україна має найбільшу серед держав Азово-Чорноморського басейну довжину морського узбережжя (2 759,2 кілометра) і понад 72 тис. кв. кілометрів виключної морської економічної зони.</w:t>
            </w:r>
          </w:p>
          <w:p w14:paraId="5F115175" w14:textId="77777777" w:rsidR="000A2789" w:rsidRPr="003E6351" w:rsidRDefault="000A2789" w:rsidP="00717BEE">
            <w:pPr>
              <w:ind w:firstLine="567"/>
              <w:jc w:val="both"/>
              <w:rPr>
                <w:rFonts w:asciiTheme="majorBidi" w:hAnsiTheme="majorBidi" w:cstheme="majorBidi"/>
                <w:sz w:val="20"/>
                <w:szCs w:val="20"/>
                <w:lang w:val="uk-UA"/>
              </w:rPr>
            </w:pPr>
            <w:r w:rsidRPr="003E6351">
              <w:rPr>
                <w:rFonts w:asciiTheme="majorBidi" w:hAnsiTheme="majorBidi" w:cstheme="majorBidi"/>
                <w:sz w:val="20"/>
                <w:szCs w:val="20"/>
                <w:lang w:val="uk-UA"/>
              </w:rPr>
              <w:t>Значну частину національного валового внутрішнього продукту формують п’ять областей України, які мають вихід до моря і займають близько 27 відсотків її території. Більшість населення на їх території проживає на відстані не більш як 60 кілометрів від моря та тісно пов’язана з морською діяльністю.</w:t>
            </w:r>
          </w:p>
          <w:p w14:paraId="23B1C7A9" w14:textId="77777777" w:rsidR="000A2789" w:rsidRPr="003E6351" w:rsidRDefault="000A2789" w:rsidP="00717BEE">
            <w:pPr>
              <w:ind w:firstLine="313"/>
              <w:jc w:val="both"/>
              <w:rPr>
                <w:rFonts w:asciiTheme="majorBidi" w:hAnsiTheme="majorBidi" w:cstheme="majorBidi"/>
                <w:sz w:val="20"/>
                <w:szCs w:val="20"/>
                <w:lang w:val="uk-UA"/>
              </w:rPr>
            </w:pPr>
          </w:p>
        </w:tc>
        <w:tc>
          <w:tcPr>
            <w:tcW w:w="2243" w:type="pct"/>
            <w:tcBorders>
              <w:right w:val="single" w:sz="4" w:space="0" w:color="000000"/>
            </w:tcBorders>
            <w:shd w:val="clear" w:color="auto" w:fill="FFFFFF"/>
          </w:tcPr>
          <w:p w14:paraId="144F75CC" w14:textId="77777777" w:rsidR="00D8383B" w:rsidRPr="003E6351" w:rsidRDefault="00D8383B"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The victory of democratic forces in Ukraine and active development of political-economic collaboration with the EU, reinstatement of negotiation about accede to NATO during the temporary Russian Federation's occupation of Ukrainian territory, Russian Federation's aggression against Ukraine and its attempts to redistribute control over Azov and Black Seas, the need to accelerate the process of state's leaving the long-term systemic crisis requires the update Ukraine's development paths as maritime state. Within the framework of radical changes of geopolitical, military-political and economic circumstances in the world, a demand to update Maritime Doctrine of Ukraine arose.</w:t>
            </w:r>
          </w:p>
          <w:p w14:paraId="4766D6C5" w14:textId="77777777" w:rsidR="00D8383B" w:rsidRPr="003E6351" w:rsidRDefault="00D8383B"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 xml:space="preserve"> In modern Ukraine’s genesis stage, the factor of its formation as a Maritime nation comes into special significance on the assumption of its spacial and geophysical specific traits, place and part in global and regional foreign affairs system. Ukraine was granted the status of a Maritime nation, making a substantial contribution to shipping industry and ocean exploration development as well as due to the favorable geographical position, more specifically, due to sea-coast length and water area.</w:t>
            </w:r>
          </w:p>
          <w:p w14:paraId="4F4A1E3B" w14:textId="77777777" w:rsidR="00D8383B" w:rsidRPr="003E6351" w:rsidRDefault="00D8383B"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 xml:space="preserve"> Ukraine has the longest sea-coast (2 759.2 km) and more than 72 thousand sq. km of exclusive economic zone among Azov-Black sea basin countries.</w:t>
            </w:r>
          </w:p>
          <w:p w14:paraId="76455A09" w14:textId="69768F07" w:rsidR="000A2789" w:rsidRPr="003E6351" w:rsidRDefault="00D8383B"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 xml:space="preserve"> A substantial part of National Gross Domestic Product is formed by five regions of Ukraine that have access to sea and take approximately 27% of its territory. The citizens majority of those regions lives within 60 kilometers to sea and is heavily involved in maritime activities.</w:t>
            </w:r>
          </w:p>
        </w:tc>
      </w:tr>
      <w:tr w:rsidR="000A2789" w:rsidRPr="003E6351" w14:paraId="1D103C2F" w14:textId="77777777" w:rsidTr="00805786">
        <w:trPr>
          <w:trHeight w:val="9727"/>
        </w:trPr>
        <w:tc>
          <w:tcPr>
            <w:tcW w:w="206" w:type="pct"/>
            <w:tcBorders>
              <w:right w:val="single" w:sz="4" w:space="0" w:color="000000"/>
            </w:tcBorders>
            <w:shd w:val="clear" w:color="auto" w:fill="D3D3D3"/>
          </w:tcPr>
          <w:p w14:paraId="6D90EF6D" w14:textId="15D86643" w:rsidR="000A2789" w:rsidRPr="003E6351" w:rsidRDefault="006A7127"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lastRenderedPageBreak/>
              <w:t>4</w:t>
            </w:r>
          </w:p>
        </w:tc>
        <w:tc>
          <w:tcPr>
            <w:tcW w:w="2551" w:type="pct"/>
            <w:tcBorders>
              <w:left w:val="single" w:sz="4" w:space="0" w:color="000000"/>
            </w:tcBorders>
            <w:shd w:val="clear" w:color="auto" w:fill="FFFFFF"/>
          </w:tcPr>
          <w:p w14:paraId="12E187EE"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Urticaria is characterised by the appearance of wheals, hives, and/or angio-oedema.</w:t>
            </w:r>
          </w:p>
          <w:p w14:paraId="7128796B"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Hives appear clinically as pruritic or burning pale swellings of the superficial dermis that last for up to 24 hours.</w:t>
            </w:r>
          </w:p>
          <w:p w14:paraId="38C6F469"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Most lesions are small, but larger, giant, or annular variants may also be seen.</w:t>
            </w:r>
          </w:p>
          <w:p w14:paraId="439B2168"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Urticaria can occur in any age group and affects 10% to 25% of the population.</w:t>
            </w:r>
          </w:p>
          <w:p w14:paraId="315D74A4"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Some cases are complicated by a swelling of the deeper dermis and tissues such as mucosal surfaces (angio-oedema), with laryngeal oedema the most dreaded variant, potentially causing respiratory distress and death.</w:t>
            </w:r>
          </w:p>
          <w:p w14:paraId="69507398"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Angio-oedema can occur at any age but most commonly in urticaria with first onset during childhood.</w:t>
            </w:r>
          </w:p>
          <w:p w14:paraId="4E6F7B04"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It may not necessarily be seen at the first urticarial episode and its risk increases with greater exposure to the allergenic substance.</w:t>
            </w:r>
          </w:p>
          <w:p w14:paraId="25CF1867"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Angio-oedema without urticaria is a typical finding in hereditary angio-oedema due to inhibition of the complement/kinin metabolism.</w:t>
            </w:r>
          </w:p>
          <w:p w14:paraId="14E7F9FE"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Angio-oedema typically lasts for a few days and is painful.</w:t>
            </w:r>
          </w:p>
          <w:p w14:paraId="226E3F32"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Urticaria can be caused by type I reaction or in chronic cases can be associated with antibodies against IgE or the FcER1 receptor.</w:t>
            </w:r>
          </w:p>
          <w:p w14:paraId="7A7B244C" w14:textId="77777777" w:rsidR="000A2789" w:rsidRPr="003E6351" w:rsidRDefault="000A2789" w:rsidP="00717BEE">
            <w:pPr>
              <w:autoSpaceDE w:val="0"/>
              <w:autoSpaceDN w:val="0"/>
              <w:adjustRightInd w:val="0"/>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Mechanisms including type II-IV reactions produce urticarial lesions and must be differentiated.</w:t>
            </w:r>
          </w:p>
          <w:p w14:paraId="612C6E38" w14:textId="77777777" w:rsidR="000A2789" w:rsidRPr="003E6351" w:rsidRDefault="000A2789" w:rsidP="00717BEE">
            <w:pPr>
              <w:autoSpaceDE w:val="0"/>
              <w:autoSpaceDN w:val="0"/>
              <w:adjustRightInd w:val="0"/>
              <w:rPr>
                <w:rFonts w:asciiTheme="majorBidi" w:hAnsiTheme="majorBidi" w:cstheme="majorBidi"/>
                <w:sz w:val="20"/>
                <w:szCs w:val="20"/>
                <w:lang w:val="en-US"/>
              </w:rPr>
            </w:pPr>
            <w:r w:rsidRPr="003E6351">
              <w:rPr>
                <w:rFonts w:asciiTheme="majorBidi" w:hAnsiTheme="majorBidi" w:cstheme="majorBidi"/>
                <w:color w:val="000000"/>
                <w:sz w:val="20"/>
                <w:szCs w:val="20"/>
                <w:lang w:val="en-US"/>
              </w:rPr>
              <w:t>Acute urticaria is characterised by sudden-onset, isolated lesions lasting &lt;24 hours, typically a few hours at a time, and total duration of flares 6 weeks or more in total.</w:t>
            </w:r>
          </w:p>
          <w:p w14:paraId="6C3E225B" w14:textId="77777777" w:rsidR="000A2789" w:rsidRPr="003E6351" w:rsidRDefault="000A2789" w:rsidP="00717BEE">
            <w:pPr>
              <w:jc w:val="both"/>
              <w:rPr>
                <w:rFonts w:asciiTheme="majorBidi" w:hAnsiTheme="majorBidi" w:cstheme="majorBidi"/>
                <w:sz w:val="20"/>
                <w:szCs w:val="20"/>
                <w:lang w:val="en-US"/>
              </w:rPr>
            </w:pPr>
          </w:p>
        </w:tc>
        <w:tc>
          <w:tcPr>
            <w:tcW w:w="2243" w:type="pct"/>
            <w:tcBorders>
              <w:right w:val="single" w:sz="4" w:space="0" w:color="000000"/>
            </w:tcBorders>
            <w:shd w:val="clear" w:color="auto" w:fill="FFFFFF"/>
          </w:tcPr>
          <w:p w14:paraId="20696394"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Крапивница характеризуется появлением волдырей, аллергической сыпью, и/или ангиоэдемой.</w:t>
            </w:r>
          </w:p>
          <w:p w14:paraId="061DF205"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Аллергическая сыпь с клинической точки зрения появляются в виде зудящих или жгущих бледных опухолей поверхностного слоя дермы, продолжительностью до 24 часов.</w:t>
            </w:r>
          </w:p>
          <w:p w14:paraId="45DA67B5"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Большинство поражений малы, но также могут наблюдаться большие, особо крупных размеров или кольцевидные поражения.</w:t>
            </w:r>
          </w:p>
          <w:p w14:paraId="66C965F1"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Крапивница может возникать в любой возрастной группе и поражать от 10% до 25% населения.</w:t>
            </w:r>
          </w:p>
          <w:p w14:paraId="5758AA90"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Некоторые случаи осложняются опухолью поражающей более глубокие слои дермы и тканей, такие как: поверхность слизистой оболочки (ангиоэдема) с ларингеальным отеком — самый страшный случай, теоретически вызывающим дыхательную недостаточность и смерть.</w:t>
            </w:r>
          </w:p>
          <w:p w14:paraId="7F94323F"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Ангиоэдема может возникнуть в любом возрасте, но чаще всего её первое появление возникает в детстве.</w:t>
            </w:r>
          </w:p>
          <w:p w14:paraId="73589637"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Это может быть замечено не обязательно при первом приступе крапивницы, риск увеличивается при большем воздействии аллергенного вещества.</w:t>
            </w:r>
          </w:p>
          <w:p w14:paraId="2887BB96"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Ангиоэдема без крапивницы является типичным показателем наследственной ангиоэдемы из-за ингибирования метаболизма комплемента/кинина.</w:t>
            </w:r>
          </w:p>
          <w:p w14:paraId="7A3429DA"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Ангиоэдема обычно болезненна и длится несколько дней.</w:t>
            </w:r>
          </w:p>
          <w:p w14:paraId="3E369186"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Крапивница может быть вызвана реакцией I типа или в хронических случаях может быть связана с антителами IgE (Иммуноглобулина Е) или рецептора FcER1.</w:t>
            </w:r>
          </w:p>
          <w:p w14:paraId="4E7988F0" w14:textId="77777777" w:rsidR="00D96EC4"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Механизмы, в том числе II-IV типа реакций поражают волдырями и должны быть дифференцированы.</w:t>
            </w:r>
          </w:p>
          <w:p w14:paraId="26B8DD58" w14:textId="27872F10" w:rsidR="000A2789"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t>Острая крапивница характеризуется внезапным наступлением, изолированным поражением длительностью до 24 часов, как правило, на несколько часов подряд, и общей продолжительность вспышки 6 недель или более в общей сложности</w:t>
            </w:r>
          </w:p>
        </w:tc>
      </w:tr>
      <w:tr w:rsidR="000A2789" w:rsidRPr="00805786" w14:paraId="2F696A7D" w14:textId="77777777" w:rsidTr="00805786">
        <w:trPr>
          <w:trHeight w:val="9727"/>
        </w:trPr>
        <w:tc>
          <w:tcPr>
            <w:tcW w:w="206" w:type="pct"/>
            <w:tcBorders>
              <w:right w:val="single" w:sz="4" w:space="0" w:color="000000"/>
            </w:tcBorders>
            <w:shd w:val="clear" w:color="auto" w:fill="D3D3D3"/>
          </w:tcPr>
          <w:p w14:paraId="6EB77BF1" w14:textId="29D7D914" w:rsidR="000A2789" w:rsidRPr="003E6351" w:rsidRDefault="006A7127"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lastRenderedPageBreak/>
              <w:t>5</w:t>
            </w:r>
          </w:p>
        </w:tc>
        <w:tc>
          <w:tcPr>
            <w:tcW w:w="2551" w:type="pct"/>
            <w:tcBorders>
              <w:left w:val="single" w:sz="4" w:space="0" w:color="000000"/>
            </w:tcBorders>
            <w:shd w:val="clear" w:color="auto" w:fill="FFFFFF"/>
          </w:tcPr>
          <w:p w14:paraId="637FAD48" w14:textId="77777777" w:rsidR="000A2789" w:rsidRPr="003E6351" w:rsidRDefault="000A2789" w:rsidP="00717BEE">
            <w:pPr>
              <w:rPr>
                <w:rFonts w:asciiTheme="majorBidi" w:hAnsiTheme="majorBidi" w:cstheme="majorBidi"/>
                <w:sz w:val="20"/>
                <w:szCs w:val="20"/>
              </w:rPr>
            </w:pPr>
            <w:r w:rsidRPr="003E6351">
              <w:rPr>
                <w:rFonts w:asciiTheme="majorBidi" w:hAnsiTheme="majorBidi" w:cstheme="majorBidi"/>
                <w:sz w:val="20"/>
                <w:szCs w:val="20"/>
              </w:rPr>
              <w:t xml:space="preserve">Сужение артерий — атеросклероз — основная причина возникновения стенокардии. </w:t>
            </w:r>
            <w:r w:rsidRPr="003E6351">
              <w:rPr>
                <w:rFonts w:asciiTheme="majorBidi" w:hAnsiTheme="majorBidi" w:cstheme="majorBidi"/>
                <w:sz w:val="20"/>
                <w:szCs w:val="20"/>
                <w:shd w:val="clear" w:color="auto" w:fill="FFFFFF"/>
              </w:rPr>
              <w:t>Причина стенокардии напряжения, да и любой стенокардии в принципе – несоответствие между потребностями миокарда в кислороде и фактической его доставкой к сердечной мышце. В основном это происходит из-за атеросклероза коронарных артерий и последующим перекрытием ее просвета более, чем на 50 %. Этот механизм приводит к возникновению клинических проявлений заболевания.</w:t>
            </w:r>
          </w:p>
          <w:p w14:paraId="342789CF" w14:textId="77777777" w:rsidR="000A2789" w:rsidRPr="003E6351" w:rsidRDefault="000A2789" w:rsidP="00717BEE">
            <w:pPr>
              <w:pStyle w:val="a8"/>
              <w:shd w:val="clear" w:color="auto" w:fill="FFFFFF"/>
              <w:spacing w:before="0" w:beforeAutospacing="0" w:after="251" w:afterAutospacing="0"/>
              <w:textAlignment w:val="baseline"/>
              <w:rPr>
                <w:rFonts w:asciiTheme="majorBidi" w:hAnsiTheme="majorBidi" w:cstheme="majorBidi"/>
                <w:sz w:val="20"/>
                <w:szCs w:val="20"/>
              </w:rPr>
            </w:pPr>
            <w:r w:rsidRPr="003E6351">
              <w:rPr>
                <w:rFonts w:asciiTheme="majorBidi" w:hAnsiTheme="majorBidi" w:cstheme="majorBidi"/>
                <w:sz w:val="20"/>
                <w:szCs w:val="20"/>
              </w:rPr>
              <w:t>Среди других факторов, способствующих развитию стенокардии напряжения, выделяют следующие:</w:t>
            </w:r>
          </w:p>
          <w:p w14:paraId="6BDE9E31" w14:textId="77777777" w:rsidR="000A2789" w:rsidRPr="003E6351" w:rsidRDefault="00CA6D57" w:rsidP="00717BEE">
            <w:pPr>
              <w:numPr>
                <w:ilvl w:val="0"/>
                <w:numId w:val="1"/>
              </w:numPr>
              <w:ind w:left="0"/>
              <w:textAlignment w:val="baseline"/>
              <w:rPr>
                <w:rFonts w:asciiTheme="majorBidi" w:hAnsiTheme="majorBidi" w:cstheme="majorBidi"/>
                <w:sz w:val="20"/>
                <w:szCs w:val="20"/>
              </w:rPr>
            </w:pPr>
            <w:hyperlink r:id="rId8" w:history="1">
              <w:r w:rsidR="000A2789" w:rsidRPr="003E6351">
                <w:rPr>
                  <w:rStyle w:val="a7"/>
                  <w:rFonts w:asciiTheme="majorBidi" w:hAnsiTheme="majorBidi" w:cstheme="majorBidi"/>
                  <w:sz w:val="20"/>
                  <w:szCs w:val="20"/>
                </w:rPr>
                <w:t>кардиомиопатия гипертрофическая</w:t>
              </w:r>
            </w:hyperlink>
            <w:r w:rsidR="000A2789" w:rsidRPr="003E6351">
              <w:rPr>
                <w:rFonts w:asciiTheme="majorBidi" w:hAnsiTheme="majorBidi" w:cstheme="majorBidi"/>
                <w:sz w:val="20"/>
                <w:szCs w:val="20"/>
              </w:rPr>
              <w:t>;</w:t>
            </w:r>
          </w:p>
          <w:p w14:paraId="5667AF64" w14:textId="77777777" w:rsidR="000A2789" w:rsidRPr="003E6351" w:rsidRDefault="000A2789" w:rsidP="00717BEE">
            <w:pPr>
              <w:numPr>
                <w:ilvl w:val="0"/>
                <w:numId w:val="1"/>
              </w:numPr>
              <w:ind w:left="0"/>
              <w:textAlignment w:val="baseline"/>
              <w:rPr>
                <w:rFonts w:asciiTheme="majorBidi" w:hAnsiTheme="majorBidi" w:cstheme="majorBidi"/>
                <w:sz w:val="20"/>
                <w:szCs w:val="20"/>
              </w:rPr>
            </w:pPr>
            <w:r w:rsidRPr="003E6351">
              <w:rPr>
                <w:rFonts w:asciiTheme="majorBidi" w:hAnsiTheme="majorBidi" w:cstheme="majorBidi"/>
                <w:sz w:val="20"/>
                <w:szCs w:val="20"/>
              </w:rPr>
              <w:t>легочная гипертензия;</w:t>
            </w:r>
          </w:p>
          <w:p w14:paraId="62C07740" w14:textId="77777777" w:rsidR="000A2789" w:rsidRPr="003E6351" w:rsidRDefault="000A2789" w:rsidP="00717BEE">
            <w:pPr>
              <w:numPr>
                <w:ilvl w:val="0"/>
                <w:numId w:val="1"/>
              </w:numPr>
              <w:ind w:left="0"/>
              <w:textAlignment w:val="baseline"/>
              <w:rPr>
                <w:rFonts w:asciiTheme="majorBidi" w:hAnsiTheme="majorBidi" w:cstheme="majorBidi"/>
                <w:sz w:val="20"/>
                <w:szCs w:val="20"/>
              </w:rPr>
            </w:pPr>
            <w:r w:rsidRPr="003E6351">
              <w:rPr>
                <w:rFonts w:asciiTheme="majorBidi" w:hAnsiTheme="majorBidi" w:cstheme="majorBidi"/>
                <w:sz w:val="20"/>
                <w:szCs w:val="20"/>
              </w:rPr>
              <w:t>тяжелые формы артериальной гипертензии;</w:t>
            </w:r>
          </w:p>
          <w:p w14:paraId="0CABCFFC" w14:textId="77777777" w:rsidR="000A2789" w:rsidRPr="003E6351" w:rsidRDefault="000A2789" w:rsidP="00717BEE">
            <w:pPr>
              <w:numPr>
                <w:ilvl w:val="0"/>
                <w:numId w:val="1"/>
              </w:numPr>
              <w:ind w:left="0"/>
              <w:textAlignment w:val="baseline"/>
              <w:rPr>
                <w:rFonts w:asciiTheme="majorBidi" w:hAnsiTheme="majorBidi" w:cstheme="majorBidi"/>
                <w:sz w:val="20"/>
                <w:szCs w:val="20"/>
              </w:rPr>
            </w:pPr>
            <w:r w:rsidRPr="003E6351">
              <w:rPr>
                <w:rFonts w:asciiTheme="majorBidi" w:hAnsiTheme="majorBidi" w:cstheme="majorBidi"/>
                <w:sz w:val="20"/>
                <w:szCs w:val="20"/>
              </w:rPr>
              <w:t>спазм коронарных артерий;</w:t>
            </w:r>
          </w:p>
          <w:p w14:paraId="3656A215" w14:textId="77777777" w:rsidR="000A2789" w:rsidRPr="003E6351" w:rsidRDefault="000A2789" w:rsidP="00717BEE">
            <w:pPr>
              <w:numPr>
                <w:ilvl w:val="0"/>
                <w:numId w:val="1"/>
              </w:numPr>
              <w:ind w:left="0"/>
              <w:textAlignment w:val="baseline"/>
              <w:rPr>
                <w:rFonts w:asciiTheme="majorBidi" w:hAnsiTheme="majorBidi" w:cstheme="majorBidi"/>
                <w:sz w:val="20"/>
                <w:szCs w:val="20"/>
              </w:rPr>
            </w:pPr>
            <w:r w:rsidRPr="003E6351">
              <w:rPr>
                <w:rFonts w:asciiTheme="majorBidi" w:hAnsiTheme="majorBidi" w:cstheme="majorBidi"/>
                <w:sz w:val="20"/>
                <w:szCs w:val="20"/>
              </w:rPr>
              <w:t>аномалии артерий, питающих миокард.</w:t>
            </w:r>
          </w:p>
          <w:p w14:paraId="3494C790" w14:textId="77777777" w:rsidR="000A2789" w:rsidRPr="003E6351" w:rsidRDefault="000A2789" w:rsidP="00717BEE">
            <w:pPr>
              <w:pStyle w:val="a8"/>
              <w:shd w:val="clear" w:color="auto" w:fill="FFFFFF"/>
              <w:spacing w:before="0" w:beforeAutospacing="0" w:after="251" w:afterAutospacing="0"/>
              <w:textAlignment w:val="baseline"/>
              <w:rPr>
                <w:rFonts w:asciiTheme="majorBidi" w:hAnsiTheme="majorBidi" w:cstheme="majorBidi"/>
                <w:sz w:val="20"/>
                <w:szCs w:val="20"/>
              </w:rPr>
            </w:pPr>
            <w:r w:rsidRPr="003E6351">
              <w:rPr>
                <w:rFonts w:asciiTheme="majorBidi" w:hAnsiTheme="majorBidi" w:cstheme="majorBidi"/>
                <w:sz w:val="20"/>
                <w:szCs w:val="20"/>
              </w:rPr>
              <w:t>Существуют классические факторы риска возникновения стенокардии напряжения:</w:t>
            </w:r>
          </w:p>
          <w:p w14:paraId="4AB8A12D" w14:textId="77777777" w:rsidR="000A2789" w:rsidRPr="003E6351" w:rsidRDefault="000A2789" w:rsidP="00717BEE">
            <w:pPr>
              <w:numPr>
                <w:ilvl w:val="0"/>
                <w:numId w:val="2"/>
              </w:numPr>
              <w:ind w:left="0"/>
              <w:textAlignment w:val="baseline"/>
              <w:rPr>
                <w:rFonts w:asciiTheme="majorBidi" w:hAnsiTheme="majorBidi" w:cstheme="majorBidi"/>
                <w:sz w:val="20"/>
                <w:szCs w:val="20"/>
              </w:rPr>
            </w:pPr>
            <w:r w:rsidRPr="003E6351">
              <w:rPr>
                <w:rFonts w:asciiTheme="majorBidi" w:hAnsiTheme="majorBidi" w:cstheme="majorBidi"/>
                <w:sz w:val="20"/>
                <w:szCs w:val="20"/>
              </w:rPr>
              <w:t>наследственность;</w:t>
            </w:r>
          </w:p>
          <w:p w14:paraId="280C083A" w14:textId="77777777" w:rsidR="000A2789" w:rsidRPr="003E6351" w:rsidRDefault="000A2789" w:rsidP="00717BEE">
            <w:pPr>
              <w:numPr>
                <w:ilvl w:val="0"/>
                <w:numId w:val="2"/>
              </w:numPr>
              <w:ind w:left="0"/>
              <w:textAlignment w:val="baseline"/>
              <w:rPr>
                <w:rFonts w:asciiTheme="majorBidi" w:hAnsiTheme="majorBidi" w:cstheme="majorBidi"/>
                <w:sz w:val="20"/>
                <w:szCs w:val="20"/>
              </w:rPr>
            </w:pPr>
            <w:r w:rsidRPr="003E6351">
              <w:rPr>
                <w:rFonts w:asciiTheme="majorBidi" w:hAnsiTheme="majorBidi" w:cstheme="majorBidi"/>
                <w:sz w:val="20"/>
                <w:szCs w:val="20"/>
              </w:rPr>
              <w:t>курение;</w:t>
            </w:r>
          </w:p>
          <w:p w14:paraId="70A45A7B" w14:textId="77777777" w:rsidR="000A2789" w:rsidRPr="003E6351" w:rsidRDefault="000A2789" w:rsidP="00717BEE">
            <w:pPr>
              <w:numPr>
                <w:ilvl w:val="0"/>
                <w:numId w:val="2"/>
              </w:numPr>
              <w:ind w:left="0"/>
              <w:textAlignment w:val="baseline"/>
              <w:rPr>
                <w:rFonts w:asciiTheme="majorBidi" w:hAnsiTheme="majorBidi" w:cstheme="majorBidi"/>
                <w:sz w:val="20"/>
                <w:szCs w:val="20"/>
              </w:rPr>
            </w:pPr>
            <w:r w:rsidRPr="003E6351">
              <w:rPr>
                <w:rFonts w:asciiTheme="majorBidi" w:hAnsiTheme="majorBidi" w:cstheme="majorBidi"/>
                <w:sz w:val="20"/>
                <w:szCs w:val="20"/>
              </w:rPr>
              <w:t>ожирение и гиподинамия;</w:t>
            </w:r>
          </w:p>
          <w:p w14:paraId="6C301079" w14:textId="77777777" w:rsidR="000A2789" w:rsidRPr="003E6351" w:rsidRDefault="000A2789" w:rsidP="00717BEE">
            <w:pPr>
              <w:numPr>
                <w:ilvl w:val="0"/>
                <w:numId w:val="2"/>
              </w:numPr>
              <w:ind w:left="0"/>
              <w:textAlignment w:val="baseline"/>
              <w:rPr>
                <w:rFonts w:asciiTheme="majorBidi" w:hAnsiTheme="majorBidi" w:cstheme="majorBidi"/>
                <w:sz w:val="20"/>
                <w:szCs w:val="20"/>
              </w:rPr>
            </w:pPr>
            <w:r w:rsidRPr="003E6351">
              <w:rPr>
                <w:rFonts w:asciiTheme="majorBidi" w:hAnsiTheme="majorBidi" w:cstheme="majorBidi"/>
                <w:sz w:val="20"/>
                <w:szCs w:val="20"/>
              </w:rPr>
              <w:t>сахарный диабет;</w:t>
            </w:r>
          </w:p>
          <w:p w14:paraId="0AF4F276" w14:textId="77777777" w:rsidR="000A2789" w:rsidRPr="003E6351" w:rsidRDefault="00CA6D57" w:rsidP="00717BEE">
            <w:pPr>
              <w:numPr>
                <w:ilvl w:val="0"/>
                <w:numId w:val="2"/>
              </w:numPr>
              <w:ind w:left="0"/>
              <w:textAlignment w:val="baseline"/>
              <w:rPr>
                <w:rFonts w:asciiTheme="majorBidi" w:hAnsiTheme="majorBidi" w:cstheme="majorBidi"/>
                <w:sz w:val="20"/>
                <w:szCs w:val="20"/>
              </w:rPr>
            </w:pPr>
            <w:hyperlink r:id="rId9" w:history="1">
              <w:r w:rsidR="000A2789" w:rsidRPr="003E6351">
                <w:rPr>
                  <w:rStyle w:val="a7"/>
                  <w:rFonts w:asciiTheme="majorBidi" w:hAnsiTheme="majorBidi" w:cstheme="majorBidi"/>
                  <w:sz w:val="20"/>
                  <w:szCs w:val="20"/>
                </w:rPr>
                <w:t>менопауза у женщин</w:t>
              </w:r>
            </w:hyperlink>
            <w:r w:rsidR="000A2789" w:rsidRPr="003E6351">
              <w:rPr>
                <w:rFonts w:asciiTheme="majorBidi" w:hAnsiTheme="majorBidi" w:cstheme="majorBidi"/>
                <w:sz w:val="20"/>
                <w:szCs w:val="20"/>
              </w:rPr>
              <w:t>;</w:t>
            </w:r>
          </w:p>
          <w:p w14:paraId="7206601F" w14:textId="77777777" w:rsidR="000A2789" w:rsidRPr="003E6351" w:rsidRDefault="000A2789" w:rsidP="00717BEE">
            <w:pPr>
              <w:numPr>
                <w:ilvl w:val="0"/>
                <w:numId w:val="2"/>
              </w:numPr>
              <w:ind w:left="0"/>
              <w:textAlignment w:val="baseline"/>
              <w:rPr>
                <w:rFonts w:asciiTheme="majorBidi" w:hAnsiTheme="majorBidi" w:cstheme="majorBidi"/>
                <w:sz w:val="20"/>
                <w:szCs w:val="20"/>
              </w:rPr>
            </w:pPr>
            <w:r w:rsidRPr="003E6351">
              <w:rPr>
                <w:rFonts w:asciiTheme="majorBidi" w:hAnsiTheme="majorBidi" w:cstheme="majorBidi"/>
                <w:sz w:val="20"/>
                <w:szCs w:val="20"/>
              </w:rPr>
              <w:t>анемия или гипоксия тяжелой степени.</w:t>
            </w:r>
          </w:p>
          <w:p w14:paraId="101AD021" w14:textId="79A27B7F" w:rsidR="000A2789" w:rsidRPr="003E6351" w:rsidRDefault="000A2789" w:rsidP="00717BEE">
            <w:pPr>
              <w:autoSpaceDE w:val="0"/>
              <w:autoSpaceDN w:val="0"/>
              <w:adjustRightInd w:val="0"/>
              <w:rPr>
                <w:rFonts w:asciiTheme="majorBidi" w:hAnsiTheme="majorBidi" w:cstheme="majorBidi"/>
                <w:color w:val="000000"/>
                <w:sz w:val="20"/>
                <w:szCs w:val="20"/>
              </w:rPr>
            </w:pPr>
            <w:r w:rsidRPr="003E6351">
              <w:rPr>
                <w:rFonts w:asciiTheme="majorBidi" w:hAnsiTheme="majorBidi" w:cstheme="majorBidi"/>
                <w:sz w:val="20"/>
                <w:szCs w:val="20"/>
              </w:rPr>
              <w:t>Имеется несколько изменяемых факторов, способствующих появлению болей за грудиной (возникновению приступов). К ним относятся повышенные физические нагрузки и эмоциональное перенапряжение, резкие перепады температуры и обильный прием пищи и др.</w:t>
            </w:r>
          </w:p>
        </w:tc>
        <w:tc>
          <w:tcPr>
            <w:tcW w:w="2243" w:type="pct"/>
            <w:tcBorders>
              <w:right w:val="single" w:sz="4" w:space="0" w:color="000000"/>
            </w:tcBorders>
            <w:shd w:val="clear" w:color="auto" w:fill="FFFFFF"/>
          </w:tcPr>
          <w:p w14:paraId="249F9560"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Causes of angina</w:t>
            </w:r>
          </w:p>
          <w:p w14:paraId="19323C4C"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xml:space="preserve"> </w:t>
            </w:r>
          </w:p>
          <w:p w14:paraId="374000D5"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Arctation of arteries, atherosclerosis, is a major cause of angina. The cause of angina is pressure which appears because of discordance between the oxygen needs of the myocardium and the actual oxygen delivery to the heart muscle. Mainly, it happens due to atherosclerosis of coronary arteries and subsequent overlapping of the arteries lumen by more than 50%. This mechanism leads to clinical evidence of disease development.</w:t>
            </w:r>
          </w:p>
          <w:p w14:paraId="2D6CC153"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xml:space="preserve"> </w:t>
            </w:r>
          </w:p>
          <w:p w14:paraId="40414DBE"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Among other factors promoting angina development, are the following:</w:t>
            </w:r>
          </w:p>
          <w:p w14:paraId="24503B88"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HCM (Hypertrophic Cardiomyopathy);</w:t>
            </w:r>
          </w:p>
          <w:p w14:paraId="35088B27"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PH (Pulmonary Hypertension);</w:t>
            </w:r>
          </w:p>
          <w:p w14:paraId="23CF1A3B"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Nasty forms of arterial hypertension;</w:t>
            </w:r>
          </w:p>
          <w:p w14:paraId="5B2E12B6"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Coronary spasms;</w:t>
            </w:r>
          </w:p>
          <w:p w14:paraId="1190C2B0"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Anomalies of the arteries providing the myocardium.</w:t>
            </w:r>
          </w:p>
          <w:p w14:paraId="798982FF"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xml:space="preserve"> </w:t>
            </w:r>
          </w:p>
          <w:p w14:paraId="2B735F28"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There are classic angina risk factors:</w:t>
            </w:r>
          </w:p>
          <w:p w14:paraId="04165861"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Hereditary background;</w:t>
            </w:r>
          </w:p>
          <w:p w14:paraId="6849225B"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Smoking</w:t>
            </w:r>
          </w:p>
          <w:p w14:paraId="58B7E1D6"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Obesity and hypodynamia;</w:t>
            </w:r>
          </w:p>
          <w:p w14:paraId="215FB459"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Diabetes;</w:t>
            </w:r>
          </w:p>
          <w:p w14:paraId="6F96797E"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Menopause;</w:t>
            </w:r>
          </w:p>
          <w:p w14:paraId="7ABFDBB1"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Anaemia or severe hypoxia.</w:t>
            </w:r>
          </w:p>
          <w:p w14:paraId="2D5C1E7F" w14:textId="77777777" w:rsidR="00D96EC4" w:rsidRPr="003E6351" w:rsidRDefault="00D96EC4" w:rsidP="00717BEE">
            <w:pPr>
              <w:rPr>
                <w:rFonts w:asciiTheme="majorBidi" w:eastAsia="Arial Unicode MS" w:hAnsiTheme="majorBidi" w:cstheme="majorBidi"/>
                <w:sz w:val="20"/>
                <w:szCs w:val="20"/>
                <w:lang w:val="en-GB"/>
              </w:rPr>
            </w:pPr>
            <w:r w:rsidRPr="003E6351">
              <w:rPr>
                <w:rFonts w:asciiTheme="majorBidi" w:eastAsia="Arial Unicode MS" w:hAnsiTheme="majorBidi" w:cstheme="majorBidi"/>
                <w:sz w:val="20"/>
                <w:szCs w:val="20"/>
                <w:lang w:val="en-GB"/>
              </w:rPr>
              <w:t xml:space="preserve"> </w:t>
            </w:r>
          </w:p>
          <w:p w14:paraId="6FAF33F6" w14:textId="420AB817" w:rsidR="000A2789" w:rsidRPr="003E6351" w:rsidRDefault="00D96EC4"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en-GB"/>
              </w:rPr>
              <w:t>There are several modifying factors that lead to the pain occurrence behind the breastbone (occurrence of strokes). These include increased physical activity, emotional stress, huge temperature swings and abundant food intake, etc.</w:t>
            </w:r>
          </w:p>
        </w:tc>
      </w:tr>
      <w:tr w:rsidR="00BD59FC" w:rsidRPr="003E6351" w14:paraId="576F90C3" w14:textId="77777777" w:rsidTr="00805786">
        <w:trPr>
          <w:trHeight w:val="9727"/>
        </w:trPr>
        <w:tc>
          <w:tcPr>
            <w:tcW w:w="206" w:type="pct"/>
            <w:tcBorders>
              <w:right w:val="single" w:sz="4" w:space="0" w:color="000000"/>
            </w:tcBorders>
            <w:shd w:val="clear" w:color="auto" w:fill="D3D3D3"/>
          </w:tcPr>
          <w:p w14:paraId="34A94568" w14:textId="58AFABB5" w:rsidR="00BD59FC" w:rsidRPr="003E6351" w:rsidRDefault="006A7127"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lastRenderedPageBreak/>
              <w:t>6</w:t>
            </w:r>
          </w:p>
        </w:tc>
        <w:tc>
          <w:tcPr>
            <w:tcW w:w="2551" w:type="pct"/>
            <w:tcBorders>
              <w:left w:val="single" w:sz="4" w:space="0" w:color="000000"/>
            </w:tcBorders>
            <w:shd w:val="clear" w:color="auto" w:fill="FFFFFF"/>
          </w:tcPr>
          <w:p w14:paraId="7D5FFBBC" w14:textId="77777777" w:rsidR="00BD59FC" w:rsidRPr="003E6351" w:rsidRDefault="00BD59FC" w:rsidP="00717BEE">
            <w:pPr>
              <w:jc w:val="both"/>
              <w:rPr>
                <w:rFonts w:asciiTheme="majorBidi" w:hAnsiTheme="majorBidi" w:cstheme="majorBidi"/>
                <w:b/>
                <w:i/>
                <w:sz w:val="20"/>
                <w:szCs w:val="20"/>
              </w:rPr>
            </w:pPr>
            <w:bookmarkStart w:id="0" w:name="_Toc501981834"/>
            <w:bookmarkStart w:id="1" w:name="_Toc503353175"/>
            <w:r w:rsidRPr="003E6351">
              <w:rPr>
                <w:rFonts w:asciiTheme="majorBidi" w:hAnsiTheme="majorBidi" w:cstheme="majorBidi"/>
                <w:b/>
                <w:i/>
                <w:sz w:val="20"/>
                <w:szCs w:val="20"/>
              </w:rPr>
              <w:t>Фюзеляж</w:t>
            </w:r>
            <w:bookmarkEnd w:id="0"/>
            <w:bookmarkEnd w:id="1"/>
          </w:p>
          <w:p w14:paraId="66494F95" w14:textId="77777777" w:rsidR="00BD59FC" w:rsidRPr="003E6351" w:rsidRDefault="00BD59FC" w:rsidP="00717BEE">
            <w:pPr>
              <w:jc w:val="both"/>
              <w:rPr>
                <w:rFonts w:asciiTheme="majorBidi" w:hAnsiTheme="majorBidi" w:cstheme="majorBidi"/>
                <w:sz w:val="20"/>
                <w:szCs w:val="20"/>
              </w:rPr>
            </w:pPr>
            <w:r w:rsidRPr="003E6351">
              <w:rPr>
                <w:rFonts w:asciiTheme="majorBidi" w:hAnsiTheme="majorBidi" w:cstheme="majorBidi"/>
                <w:sz w:val="20"/>
                <w:szCs w:val="20"/>
              </w:rPr>
              <w:t>Фюзеляж воздушного судна представляет собой цельнометаллическую монококовую каркасную конструкцию, состоящую из стрингеров и обшивки из алюминиевого сплава; вертикальный стабилизатор является неотъемлемой частью фюзеляжа. Моторный отсек отделен от отсека экипажа стальной перегородкой.</w:t>
            </w:r>
          </w:p>
          <w:p w14:paraId="257F03BD" w14:textId="77777777" w:rsidR="00BD59FC" w:rsidRPr="003E6351" w:rsidRDefault="00BD59FC" w:rsidP="00717BEE">
            <w:pPr>
              <w:jc w:val="both"/>
              <w:rPr>
                <w:rFonts w:asciiTheme="majorBidi" w:hAnsiTheme="majorBidi" w:cstheme="majorBidi"/>
                <w:b/>
                <w:i/>
                <w:sz w:val="20"/>
                <w:szCs w:val="20"/>
              </w:rPr>
            </w:pPr>
            <w:bookmarkStart w:id="2" w:name="_Toc501981835"/>
            <w:bookmarkStart w:id="3" w:name="_Toc503353176"/>
            <w:r w:rsidRPr="003E6351">
              <w:rPr>
                <w:rFonts w:asciiTheme="majorBidi" w:hAnsiTheme="majorBidi" w:cstheme="majorBidi"/>
                <w:b/>
                <w:i/>
                <w:sz w:val="20"/>
                <w:szCs w:val="20"/>
              </w:rPr>
              <w:t>Крыло</w:t>
            </w:r>
            <w:bookmarkEnd w:id="2"/>
            <w:bookmarkEnd w:id="3"/>
          </w:p>
          <w:p w14:paraId="14BF1FC3" w14:textId="77777777" w:rsidR="00BD59FC" w:rsidRPr="003E6351" w:rsidRDefault="00BD59FC" w:rsidP="00717BEE">
            <w:pPr>
              <w:jc w:val="both"/>
              <w:rPr>
                <w:rFonts w:asciiTheme="majorBidi" w:hAnsiTheme="majorBidi" w:cstheme="majorBidi"/>
                <w:sz w:val="20"/>
                <w:szCs w:val="20"/>
              </w:rPr>
            </w:pPr>
            <w:r w:rsidRPr="003E6351">
              <w:rPr>
                <w:rFonts w:asciiTheme="majorBidi" w:hAnsiTheme="majorBidi" w:cstheme="majorBidi"/>
                <w:sz w:val="20"/>
                <w:szCs w:val="20"/>
              </w:rPr>
              <w:t>Цельнометаллическое, однолонжеронное крыло прямоугольной формы с дополнительным лонжероном. Крыло оборудовано элеронами и щелевыми закрылками, электрически управляемыми в четырех положениях, с несущими топливными баками. Концевые обтекатели крыла оснащены композитными законцовками.</w:t>
            </w:r>
          </w:p>
          <w:p w14:paraId="033234DD" w14:textId="77777777" w:rsidR="00BD59FC" w:rsidRPr="003E6351" w:rsidRDefault="00BD59FC" w:rsidP="00717BEE">
            <w:pPr>
              <w:jc w:val="both"/>
              <w:rPr>
                <w:rFonts w:asciiTheme="majorBidi" w:hAnsiTheme="majorBidi" w:cstheme="majorBidi"/>
                <w:b/>
                <w:i/>
                <w:sz w:val="20"/>
                <w:szCs w:val="20"/>
              </w:rPr>
            </w:pPr>
            <w:bookmarkStart w:id="4" w:name="_Toc501981836"/>
            <w:bookmarkStart w:id="5" w:name="_Toc503353177"/>
            <w:r w:rsidRPr="003E6351">
              <w:rPr>
                <w:rFonts w:asciiTheme="majorBidi" w:hAnsiTheme="majorBidi" w:cstheme="majorBidi"/>
                <w:b/>
                <w:i/>
                <w:sz w:val="20"/>
                <w:szCs w:val="20"/>
              </w:rPr>
              <w:t>Оперение</w:t>
            </w:r>
            <w:bookmarkEnd w:id="4"/>
            <w:bookmarkEnd w:id="5"/>
          </w:p>
          <w:p w14:paraId="5CD88770" w14:textId="3822BE87" w:rsidR="00BD59FC" w:rsidRPr="003E6351" w:rsidRDefault="00BD59FC" w:rsidP="00717BEE">
            <w:pPr>
              <w:rPr>
                <w:rFonts w:asciiTheme="majorBidi" w:hAnsiTheme="majorBidi" w:cstheme="majorBidi"/>
                <w:sz w:val="20"/>
                <w:szCs w:val="20"/>
              </w:rPr>
            </w:pPr>
            <w:r w:rsidRPr="003E6351">
              <w:rPr>
                <w:rFonts w:asciiTheme="majorBidi" w:hAnsiTheme="majorBidi" w:cstheme="majorBidi"/>
                <w:sz w:val="20"/>
                <w:szCs w:val="20"/>
              </w:rPr>
              <w:t>Оно состоит из вертикального и горизонтального оперения воздушного судна на конце фюзеляжа. Вертикальное оперение состоит из цельного стабилизатора с правым и левым рулем высоты, которые соединены между собой управляющим главным редуктором. Руль высоты оборудован электрически управляемым триммером. Вертикальное оперение в форме трапеции состоит из вертикального стабилизатора и руля направления</w:t>
            </w:r>
          </w:p>
        </w:tc>
        <w:tc>
          <w:tcPr>
            <w:tcW w:w="2243" w:type="pct"/>
            <w:tcBorders>
              <w:right w:val="single" w:sz="4" w:space="0" w:color="000000"/>
            </w:tcBorders>
            <w:shd w:val="clear" w:color="auto" w:fill="FFFFFF"/>
          </w:tcPr>
          <w:p w14:paraId="72CF87AE" w14:textId="77777777" w:rsidR="00BD59FC" w:rsidRPr="003E6351" w:rsidRDefault="00BD59FC" w:rsidP="00717BEE">
            <w:pPr>
              <w:rPr>
                <w:rFonts w:asciiTheme="majorBidi" w:hAnsiTheme="majorBidi" w:cstheme="majorBidi"/>
                <w:color w:val="000000"/>
                <w:sz w:val="20"/>
                <w:szCs w:val="20"/>
                <w:lang w:val="en-US"/>
              </w:rPr>
            </w:pPr>
            <w:r w:rsidRPr="003E6351">
              <w:rPr>
                <w:rFonts w:asciiTheme="majorBidi" w:hAnsiTheme="majorBidi" w:cstheme="majorBidi"/>
                <w:b/>
                <w:color w:val="000000"/>
                <w:sz w:val="20"/>
                <w:szCs w:val="20"/>
                <w:lang w:val="en-US"/>
              </w:rPr>
              <w:t>Fuselage</w:t>
            </w:r>
          </w:p>
          <w:p w14:paraId="1E951CEB" w14:textId="77777777" w:rsidR="00BD59FC" w:rsidRPr="003E6351" w:rsidRDefault="00BD59FC"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The aircraft fuselage is the all-metal monocoque frame structure consisting of stringers and aluminium alloy case; The vertical stabilizer is the fuselage integral part. The motor compartment is separated from the crew compartment by a steel partition</w:t>
            </w:r>
          </w:p>
          <w:p w14:paraId="59831CD7" w14:textId="77777777" w:rsidR="00BD59FC" w:rsidRPr="003E6351" w:rsidRDefault="00BD59FC" w:rsidP="00717BEE">
            <w:pPr>
              <w:rPr>
                <w:rFonts w:asciiTheme="majorBidi" w:hAnsiTheme="majorBidi" w:cstheme="majorBidi"/>
                <w:color w:val="000000"/>
                <w:sz w:val="20"/>
                <w:szCs w:val="20"/>
                <w:lang w:val="en-US"/>
              </w:rPr>
            </w:pPr>
          </w:p>
          <w:p w14:paraId="15F64A29" w14:textId="77777777" w:rsidR="00BD59FC" w:rsidRPr="003E6351" w:rsidRDefault="00BD59FC" w:rsidP="00717BEE">
            <w:pPr>
              <w:rPr>
                <w:rFonts w:asciiTheme="majorBidi" w:hAnsiTheme="majorBidi" w:cstheme="majorBidi"/>
                <w:color w:val="000000"/>
                <w:sz w:val="20"/>
                <w:szCs w:val="20"/>
                <w:lang w:val="en-US"/>
              </w:rPr>
            </w:pPr>
          </w:p>
          <w:p w14:paraId="2487C982" w14:textId="77777777" w:rsidR="00BD59FC" w:rsidRPr="003E6351" w:rsidRDefault="00BD59FC" w:rsidP="00717BEE">
            <w:pPr>
              <w:rPr>
                <w:rFonts w:asciiTheme="majorBidi" w:hAnsiTheme="majorBidi" w:cstheme="majorBidi"/>
                <w:color w:val="000000"/>
                <w:sz w:val="20"/>
                <w:szCs w:val="20"/>
                <w:lang w:val="en-US"/>
              </w:rPr>
            </w:pPr>
            <w:r w:rsidRPr="003E6351">
              <w:rPr>
                <w:rFonts w:asciiTheme="majorBidi" w:hAnsiTheme="majorBidi" w:cstheme="majorBidi"/>
                <w:b/>
                <w:color w:val="000000"/>
                <w:sz w:val="20"/>
                <w:szCs w:val="20"/>
                <w:lang w:val="en-US"/>
              </w:rPr>
              <w:t>Wing</w:t>
            </w:r>
          </w:p>
          <w:p w14:paraId="084A4610" w14:textId="77777777" w:rsidR="00BD59FC" w:rsidRPr="003E6351" w:rsidRDefault="00BD59FC"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Rectangular all-metal single-spar wing with an auxiliary spar. The wing is equipped with ailerons, slotted flaps, electrically controlled in four positions, and integral fuel tanks. End cowlings of the wing are fitted with compound wingtip device.</w:t>
            </w:r>
          </w:p>
          <w:p w14:paraId="246E9261" w14:textId="77777777" w:rsidR="00BD59FC" w:rsidRPr="003E6351" w:rsidRDefault="00BD59FC" w:rsidP="00717BEE">
            <w:pPr>
              <w:rPr>
                <w:rFonts w:asciiTheme="majorBidi" w:hAnsiTheme="majorBidi" w:cstheme="majorBidi"/>
                <w:color w:val="000000"/>
                <w:sz w:val="20"/>
                <w:szCs w:val="20"/>
                <w:lang w:val="en-US"/>
              </w:rPr>
            </w:pPr>
          </w:p>
          <w:p w14:paraId="40F2606A" w14:textId="77777777" w:rsidR="00BD59FC" w:rsidRPr="003E6351" w:rsidRDefault="00BD59FC" w:rsidP="00717BEE">
            <w:pPr>
              <w:rPr>
                <w:rFonts w:asciiTheme="majorBidi" w:hAnsiTheme="majorBidi" w:cstheme="majorBidi"/>
                <w:color w:val="000000"/>
                <w:sz w:val="20"/>
                <w:szCs w:val="20"/>
                <w:lang w:val="en-US"/>
              </w:rPr>
            </w:pPr>
          </w:p>
          <w:p w14:paraId="2D699FCC" w14:textId="77777777" w:rsidR="00BD59FC" w:rsidRPr="003E6351" w:rsidRDefault="00BD59FC" w:rsidP="00717BEE">
            <w:pPr>
              <w:rPr>
                <w:rFonts w:asciiTheme="majorBidi" w:hAnsiTheme="majorBidi" w:cstheme="majorBidi"/>
                <w:color w:val="000000"/>
                <w:sz w:val="20"/>
                <w:szCs w:val="20"/>
                <w:lang w:val="en-US"/>
              </w:rPr>
            </w:pPr>
            <w:r w:rsidRPr="003E6351">
              <w:rPr>
                <w:rFonts w:asciiTheme="majorBidi" w:hAnsiTheme="majorBidi" w:cstheme="majorBidi"/>
                <w:b/>
                <w:color w:val="000000"/>
                <w:sz w:val="20"/>
                <w:szCs w:val="20"/>
                <w:lang w:val="en-US"/>
              </w:rPr>
              <w:t>Empennage</w:t>
            </w:r>
          </w:p>
          <w:p w14:paraId="48240E0E" w14:textId="77777777" w:rsidR="00BD59FC" w:rsidRPr="003E6351" w:rsidRDefault="00BD59FC"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It consists of vertical and horizontal aircraft empennage at the end of the fuselage. Vertical empennage consists of a single-piece stabilizer with right and left elevator which is connected with the main gearbox. The elevator is fitted with an electrically controlled trim tab. The trapezoid vertical empennage consists of a vertical stabilizer and a rudder.</w:t>
            </w:r>
          </w:p>
          <w:p w14:paraId="79D0B9A9" w14:textId="77777777" w:rsidR="00BD59FC" w:rsidRPr="003E6351" w:rsidRDefault="00BD59FC" w:rsidP="00717BEE">
            <w:pPr>
              <w:rPr>
                <w:rFonts w:asciiTheme="majorBidi" w:eastAsia="Arial Unicode MS" w:hAnsiTheme="majorBidi" w:cstheme="majorBidi"/>
                <w:sz w:val="20"/>
                <w:szCs w:val="20"/>
                <w:lang w:val="en-US"/>
              </w:rPr>
            </w:pPr>
          </w:p>
        </w:tc>
      </w:tr>
      <w:tr w:rsidR="00BD59FC" w:rsidRPr="003E6351" w14:paraId="1C037B19" w14:textId="77777777" w:rsidTr="00805786">
        <w:trPr>
          <w:trHeight w:val="9727"/>
        </w:trPr>
        <w:tc>
          <w:tcPr>
            <w:tcW w:w="206" w:type="pct"/>
            <w:tcBorders>
              <w:right w:val="single" w:sz="4" w:space="0" w:color="000000"/>
            </w:tcBorders>
            <w:shd w:val="clear" w:color="auto" w:fill="D3D3D3"/>
          </w:tcPr>
          <w:p w14:paraId="56D11518" w14:textId="665B179E" w:rsidR="00BD59FC" w:rsidRPr="003E6351" w:rsidRDefault="006A7127"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lastRenderedPageBreak/>
              <w:t>7</w:t>
            </w:r>
          </w:p>
        </w:tc>
        <w:tc>
          <w:tcPr>
            <w:tcW w:w="2551" w:type="pct"/>
            <w:tcBorders>
              <w:left w:val="single" w:sz="4" w:space="0" w:color="000000"/>
            </w:tcBorders>
            <w:shd w:val="clear" w:color="auto" w:fill="FFFFFF"/>
          </w:tcPr>
          <w:p w14:paraId="44BC9CE8" w14:textId="77777777" w:rsidR="00BD59FC" w:rsidRPr="003E6351" w:rsidRDefault="00BD59FC" w:rsidP="00717BEE">
            <w:pPr>
              <w:jc w:val="both"/>
              <w:rPr>
                <w:rFonts w:asciiTheme="majorBidi" w:hAnsiTheme="majorBidi" w:cstheme="majorBidi"/>
                <w:sz w:val="20"/>
                <w:szCs w:val="20"/>
                <w:lang w:val="en-US"/>
              </w:rPr>
            </w:pPr>
            <w:r w:rsidRPr="003E6351">
              <w:rPr>
                <w:rFonts w:asciiTheme="majorBidi" w:hAnsiTheme="majorBidi" w:cstheme="majorBidi"/>
                <w:sz w:val="20"/>
                <w:szCs w:val="20"/>
                <w:lang w:val="en-US"/>
              </w:rPr>
              <w:t>The capacity of any monitor shall be at least 3.02 L/min·m</w:t>
            </w:r>
            <w:r w:rsidRPr="003E6351">
              <w:rPr>
                <w:rFonts w:asciiTheme="majorBidi" w:hAnsiTheme="majorBidi" w:cstheme="majorBidi"/>
                <w:sz w:val="20"/>
                <w:szCs w:val="20"/>
                <w:vertAlign w:val="superscript"/>
                <w:lang w:val="en-US"/>
              </w:rPr>
              <w:t>2</w:t>
            </w:r>
            <w:r w:rsidRPr="003E6351">
              <w:rPr>
                <w:rFonts w:asciiTheme="majorBidi" w:hAnsiTheme="majorBidi" w:cstheme="majorBidi"/>
                <w:sz w:val="20"/>
                <w:szCs w:val="20"/>
                <w:lang w:val="en-US"/>
              </w:rPr>
              <w:t xml:space="preserve"> (0.074 gpm/ft</w:t>
            </w:r>
            <w:r w:rsidRPr="003E6351">
              <w:rPr>
                <w:rFonts w:asciiTheme="majorBidi" w:hAnsiTheme="majorBidi" w:cstheme="majorBidi"/>
                <w:sz w:val="20"/>
                <w:szCs w:val="20"/>
                <w:vertAlign w:val="superscript"/>
                <w:lang w:val="en-US"/>
              </w:rPr>
              <w:t>2</w:t>
            </w:r>
            <w:r w:rsidRPr="003E6351">
              <w:rPr>
                <w:rFonts w:asciiTheme="majorBidi" w:hAnsiTheme="majorBidi" w:cstheme="majorBidi"/>
                <w:sz w:val="20"/>
                <w:szCs w:val="20"/>
                <w:lang w:val="en-US"/>
              </w:rPr>
              <w:t>) of the deck area protected by that monitor, with such area being entirely forward of the monitor.</w:t>
            </w:r>
          </w:p>
          <w:p w14:paraId="12DC561D" w14:textId="77777777" w:rsidR="00BD59FC" w:rsidRPr="003E6351" w:rsidRDefault="00BD59FC" w:rsidP="00717BEE">
            <w:pPr>
              <w:jc w:val="both"/>
              <w:rPr>
                <w:rFonts w:asciiTheme="majorBidi" w:hAnsiTheme="majorBidi" w:cstheme="majorBidi"/>
                <w:sz w:val="20"/>
                <w:szCs w:val="20"/>
                <w:lang w:val="en-US"/>
              </w:rPr>
            </w:pPr>
            <w:r w:rsidRPr="003E6351">
              <w:rPr>
                <w:rFonts w:asciiTheme="majorBidi" w:hAnsiTheme="majorBidi" w:cstheme="majorBidi"/>
                <w:sz w:val="20"/>
                <w:szCs w:val="20"/>
                <w:lang w:val="en-US"/>
              </w:rPr>
              <w:t>The capacity of each monitor shall be not less than 50 percent of the required foam application rate and not less than 1,250 L/min (330 gpm).</w:t>
            </w:r>
          </w:p>
          <w:p w14:paraId="29E0443E" w14:textId="77777777" w:rsidR="00BD59FC" w:rsidRPr="003E6351" w:rsidRDefault="00BD59FC" w:rsidP="00717BEE">
            <w:pPr>
              <w:jc w:val="both"/>
              <w:rPr>
                <w:rFonts w:asciiTheme="majorBidi" w:hAnsiTheme="majorBidi" w:cstheme="majorBidi"/>
                <w:sz w:val="20"/>
                <w:szCs w:val="20"/>
                <w:lang w:val="en-US"/>
              </w:rPr>
            </w:pPr>
            <w:r w:rsidRPr="003E6351">
              <w:rPr>
                <w:rFonts w:asciiTheme="majorBidi" w:hAnsiTheme="majorBidi" w:cstheme="majorBidi"/>
                <w:sz w:val="20"/>
                <w:szCs w:val="20"/>
                <w:lang w:val="en-US"/>
              </w:rPr>
              <w:t>The distance from the monitor to the farthest extremity of the protected area forward of the monitor shall be not more than 75 percent of the monitor throw in still air conditions.</w:t>
            </w:r>
          </w:p>
          <w:p w14:paraId="1BA6D0B9" w14:textId="77777777" w:rsidR="00BD59FC" w:rsidRPr="003E6351" w:rsidRDefault="00BD59FC" w:rsidP="00717BEE">
            <w:pPr>
              <w:jc w:val="both"/>
              <w:rPr>
                <w:rFonts w:asciiTheme="majorBidi" w:hAnsiTheme="majorBidi" w:cstheme="majorBidi"/>
                <w:sz w:val="20"/>
                <w:szCs w:val="20"/>
                <w:lang w:val="en-US"/>
              </w:rPr>
            </w:pPr>
            <w:r w:rsidRPr="003E6351">
              <w:rPr>
                <w:rFonts w:asciiTheme="majorBidi" w:hAnsiTheme="majorBidi" w:cstheme="majorBidi"/>
                <w:sz w:val="20"/>
                <w:szCs w:val="20"/>
                <w:lang w:val="en-US"/>
              </w:rPr>
              <w:t>Foam monitors and hand hoseline connections shall be situated both port and starboard at the front of the accommodation space facing the cargo tanks deck.</w:t>
            </w:r>
          </w:p>
          <w:p w14:paraId="69A206A5" w14:textId="77777777" w:rsidR="00BD59FC" w:rsidRPr="003E6351" w:rsidRDefault="00BD59FC" w:rsidP="00717BEE">
            <w:pPr>
              <w:jc w:val="both"/>
              <w:rPr>
                <w:rFonts w:asciiTheme="majorBidi" w:hAnsiTheme="majorBidi" w:cstheme="majorBidi"/>
                <w:sz w:val="20"/>
                <w:szCs w:val="20"/>
                <w:lang w:val="en-US"/>
              </w:rPr>
            </w:pPr>
            <w:r w:rsidRPr="003E6351">
              <w:rPr>
                <w:rFonts w:asciiTheme="majorBidi" w:hAnsiTheme="majorBidi" w:cstheme="majorBidi"/>
                <w:sz w:val="20"/>
                <w:szCs w:val="20"/>
                <w:lang w:val="en-US"/>
              </w:rPr>
              <w:t>If provided, these monitors shall be located at least 2.5 m (8.2 ft) above the main deck and shall be directly accessible to the deck above the freeboard deck.</w:t>
            </w:r>
          </w:p>
          <w:p w14:paraId="2E23240B" w14:textId="07E5E60D" w:rsidR="00BD59FC" w:rsidRPr="003E6351" w:rsidRDefault="00BD59FC" w:rsidP="00717BEE">
            <w:pPr>
              <w:jc w:val="both"/>
              <w:rPr>
                <w:rFonts w:asciiTheme="majorBidi" w:hAnsiTheme="majorBidi" w:cstheme="majorBidi"/>
                <w:b/>
                <w:i/>
                <w:sz w:val="20"/>
                <w:szCs w:val="20"/>
                <w:lang w:val="en-US"/>
              </w:rPr>
            </w:pPr>
            <w:r w:rsidRPr="003E6351">
              <w:rPr>
                <w:rFonts w:asciiTheme="majorBidi" w:hAnsiTheme="majorBidi" w:cstheme="majorBidi"/>
                <w:sz w:val="20"/>
                <w:szCs w:val="20"/>
                <w:lang w:val="en-US"/>
              </w:rPr>
              <w:t>Ships fitted with bow or stern loading and unloading arrangements shall be provided with one or more additional monitors located to protect the bow or stern arrangements.</w:t>
            </w:r>
          </w:p>
        </w:tc>
        <w:tc>
          <w:tcPr>
            <w:tcW w:w="2243" w:type="pct"/>
            <w:tcBorders>
              <w:right w:val="single" w:sz="4" w:space="0" w:color="000000"/>
            </w:tcBorders>
            <w:shd w:val="clear" w:color="auto" w:fill="FFFFFF"/>
          </w:tcPr>
          <w:p w14:paraId="029076CA" w14:textId="2824CB0D" w:rsidR="00BD59FC"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Ёмкость</w:t>
            </w:r>
            <w:r w:rsidR="00BD59FC" w:rsidRPr="003E6351">
              <w:rPr>
                <w:rFonts w:asciiTheme="majorBidi" w:hAnsiTheme="majorBidi" w:cstheme="majorBidi"/>
                <w:color w:val="000000"/>
                <w:sz w:val="20"/>
                <w:szCs w:val="20"/>
              </w:rPr>
              <w:t xml:space="preserve"> каждого монитора должна составлять не менее 3,02 л/мин*м2 (0,074 галлонов в мин/фут2) области палубы, защищённой этим монитором, причём данная область находится полностью перед монитором. </w:t>
            </w:r>
          </w:p>
          <w:p w14:paraId="7B29CD7D" w14:textId="4B180EB9" w:rsidR="00BD59FC"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Ёмкость</w:t>
            </w:r>
            <w:r w:rsidR="00BD59FC" w:rsidRPr="003E6351">
              <w:rPr>
                <w:rFonts w:asciiTheme="majorBidi" w:hAnsiTheme="majorBidi" w:cstheme="majorBidi"/>
                <w:color w:val="000000"/>
                <w:sz w:val="20"/>
                <w:szCs w:val="20"/>
              </w:rPr>
              <w:t xml:space="preserve"> каждого монитора должна составлять не менее 50% от требуемой скорости подачи пены и не менее 1250л/мин (330г/мин)</w:t>
            </w:r>
          </w:p>
          <w:p w14:paraId="0DBD37C4" w14:textId="77777777" w:rsidR="00BD59FC" w:rsidRPr="003E6351" w:rsidRDefault="00BD59FC"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 xml:space="preserve">Расстояние от самого дальнего края защищаемой зоны перед монитором должно составлять не более 75% расстояния пуска пены при нормальных условиях воздуха. </w:t>
            </w:r>
          </w:p>
          <w:p w14:paraId="2F110E48" w14:textId="77777777" w:rsidR="00BD59FC" w:rsidRPr="003E6351" w:rsidRDefault="00BD59FC"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 xml:space="preserve">Лафетные стволы системы пенотушения и ручные шланговые соединения должны располагаться как по левому, так и по правому борту спереди от передней части жилых помещений по направлению к палубе грузового отсека. </w:t>
            </w:r>
          </w:p>
          <w:p w14:paraId="3C5D9CD9" w14:textId="77777777" w:rsidR="00BD59FC" w:rsidRPr="003E6351" w:rsidRDefault="00BD59FC"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 xml:space="preserve">Если это предусмотрено, то эти мониторы должны располагаться на высоте не менее 2,5м (8,2 фута) над главной палубой и иметь прямой доступ к палубе над палубой надводным борта. </w:t>
            </w:r>
          </w:p>
          <w:p w14:paraId="6E570F9D" w14:textId="77777777" w:rsidR="00BD59FC" w:rsidRPr="003E6351" w:rsidRDefault="00BD59FC"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Суда, оснащённые носовыми или кормовыми устройствами погрузки и разгрузки, должны иметь один или несколько дополнительных мониторов, расположенных для защиты носовых или кормовых устройств.</w:t>
            </w:r>
          </w:p>
          <w:p w14:paraId="152A8A2C" w14:textId="77777777" w:rsidR="00BD59FC" w:rsidRPr="003E6351" w:rsidRDefault="00BD59FC" w:rsidP="00717BEE">
            <w:pPr>
              <w:rPr>
                <w:rFonts w:asciiTheme="majorBidi" w:hAnsiTheme="majorBidi" w:cstheme="majorBidi"/>
                <w:b/>
                <w:color w:val="000000"/>
                <w:sz w:val="20"/>
                <w:szCs w:val="20"/>
              </w:rPr>
            </w:pPr>
          </w:p>
        </w:tc>
      </w:tr>
      <w:tr w:rsidR="00E61E4A" w:rsidRPr="003E6351" w14:paraId="4BF8A78B" w14:textId="77777777" w:rsidTr="00805786">
        <w:trPr>
          <w:trHeight w:val="9727"/>
        </w:trPr>
        <w:tc>
          <w:tcPr>
            <w:tcW w:w="206" w:type="pct"/>
            <w:tcBorders>
              <w:right w:val="single" w:sz="4" w:space="0" w:color="000000"/>
            </w:tcBorders>
            <w:shd w:val="clear" w:color="auto" w:fill="D3D3D3"/>
          </w:tcPr>
          <w:p w14:paraId="0F3531F8" w14:textId="4FA5F292" w:rsidR="00E61E4A" w:rsidRPr="003E6351" w:rsidRDefault="006A7127"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lastRenderedPageBreak/>
              <w:t>8</w:t>
            </w:r>
          </w:p>
        </w:tc>
        <w:tc>
          <w:tcPr>
            <w:tcW w:w="2551" w:type="pct"/>
            <w:tcBorders>
              <w:left w:val="single" w:sz="4" w:space="0" w:color="000000"/>
            </w:tcBorders>
            <w:shd w:val="clear" w:color="auto" w:fill="FFFFFF"/>
          </w:tcPr>
          <w:p w14:paraId="6D23D827" w14:textId="77777777" w:rsidR="00E61E4A" w:rsidRPr="003E6351" w:rsidRDefault="00E61E4A" w:rsidP="00717BEE">
            <w:pPr>
              <w:jc w:val="both"/>
              <w:rPr>
                <w:rFonts w:asciiTheme="majorBidi" w:hAnsiTheme="majorBidi" w:cstheme="majorBidi"/>
                <w:color w:val="000000"/>
                <w:sz w:val="20"/>
                <w:szCs w:val="20"/>
              </w:rPr>
            </w:pPr>
            <w:r w:rsidRPr="003E6351">
              <w:rPr>
                <w:rFonts w:asciiTheme="majorBidi" w:hAnsiTheme="majorBidi" w:cstheme="majorBidi"/>
                <w:color w:val="000000"/>
                <w:sz w:val="20"/>
                <w:szCs w:val="20"/>
              </w:rPr>
              <w:t>Исполнитель ежемесячно представляет Заказчику письменные отчеты о ходе оказания услуг по настоящему Договору, на основании которых Стороны составляют и подписывают Акт об оказании услуг.</w:t>
            </w:r>
          </w:p>
          <w:p w14:paraId="132848BB" w14:textId="77777777" w:rsidR="00E61E4A" w:rsidRPr="003E6351" w:rsidRDefault="00E61E4A" w:rsidP="00717BEE">
            <w:pPr>
              <w:jc w:val="both"/>
              <w:rPr>
                <w:rFonts w:asciiTheme="majorBidi" w:hAnsiTheme="majorBidi" w:cstheme="majorBidi"/>
                <w:color w:val="000000"/>
                <w:sz w:val="20"/>
                <w:szCs w:val="20"/>
              </w:rPr>
            </w:pPr>
            <w:r w:rsidRPr="003E6351">
              <w:rPr>
                <w:rFonts w:asciiTheme="majorBidi" w:hAnsiTheme="majorBidi" w:cstheme="majorBidi"/>
                <w:color w:val="000000"/>
                <w:sz w:val="20"/>
                <w:szCs w:val="20"/>
              </w:rPr>
              <w:t>Подписываемые Сторонами Акты об оказании услуг являются подтверждением оказания услуг Исполнителем Заказчику.</w:t>
            </w:r>
          </w:p>
          <w:p w14:paraId="0B7AEB74" w14:textId="77777777" w:rsidR="00E61E4A" w:rsidRPr="003E6351" w:rsidRDefault="00E61E4A" w:rsidP="00717BEE">
            <w:pPr>
              <w:jc w:val="both"/>
              <w:rPr>
                <w:rFonts w:asciiTheme="majorBidi" w:hAnsiTheme="majorBidi" w:cstheme="majorBidi"/>
                <w:color w:val="000000"/>
                <w:sz w:val="20"/>
                <w:szCs w:val="20"/>
              </w:rPr>
            </w:pPr>
            <w:r w:rsidRPr="003E6351">
              <w:rPr>
                <w:rFonts w:asciiTheme="majorBidi" w:hAnsiTheme="majorBidi" w:cstheme="majorBidi"/>
                <w:color w:val="000000"/>
                <w:sz w:val="20"/>
                <w:szCs w:val="20"/>
              </w:rPr>
              <w:t>Отчеты предоставляются Исполнителем до 10 (десятого) числа месяца, следующего за отчетным месяцем, Акт об оказании услуг составляется и подписывается Сторонами в течение 3 (трех) рабочих дней со дня предоставления отчета.</w:t>
            </w:r>
          </w:p>
          <w:p w14:paraId="06CAB583" w14:textId="05A7797E" w:rsidR="00E61E4A" w:rsidRPr="003E6351" w:rsidRDefault="00E61E4A" w:rsidP="00717BEE">
            <w:pPr>
              <w:jc w:val="both"/>
              <w:rPr>
                <w:rFonts w:asciiTheme="majorBidi" w:hAnsiTheme="majorBidi" w:cstheme="majorBidi"/>
                <w:sz w:val="20"/>
                <w:szCs w:val="20"/>
              </w:rPr>
            </w:pPr>
            <w:r w:rsidRPr="003E6351">
              <w:rPr>
                <w:rFonts w:asciiTheme="majorBidi" w:hAnsiTheme="majorBidi" w:cstheme="majorBidi"/>
                <w:color w:val="000000"/>
                <w:sz w:val="20"/>
                <w:szCs w:val="20"/>
              </w:rPr>
              <w:t>При оказании услуг, не указанных в перечне оказываемых услуг (Приложение № 1), Исполнитель представляет Заказчику дополнительный отчет и Стороны подписывают дополнительный Акт об оказании услуг, который является подтверждением оказания дополнительных услуг Исполнителем Заказчику.</w:t>
            </w:r>
          </w:p>
        </w:tc>
        <w:tc>
          <w:tcPr>
            <w:tcW w:w="2243" w:type="pct"/>
            <w:tcBorders>
              <w:right w:val="single" w:sz="4" w:space="0" w:color="000000"/>
            </w:tcBorders>
            <w:shd w:val="clear" w:color="auto" w:fill="FFFFFF"/>
          </w:tcPr>
          <w:p w14:paraId="3995955F" w14:textId="77777777" w:rsidR="00E61E4A" w:rsidRPr="003E6351" w:rsidRDefault="00E61E4A"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The Contractor monthly submits written reports to the Customer about the course of rendering services of this Agreement, on the basis of which the Parties draft and sign up the Service Provision Act.</w:t>
            </w:r>
          </w:p>
          <w:p w14:paraId="3A90237F" w14:textId="77777777" w:rsidR="00E61E4A" w:rsidRPr="003E6351" w:rsidRDefault="00E61E4A"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 xml:space="preserve"> The Service Provision Acts signed by the Parties serve as confirmation of rendering services by the Contractor to the Customer.</w:t>
            </w:r>
          </w:p>
          <w:p w14:paraId="46AE8BA3" w14:textId="77777777" w:rsidR="00E61E4A" w:rsidRPr="003E6351" w:rsidRDefault="00E61E4A"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 xml:space="preserve">The reports must be provided by the Contractor up to 10 (tenth) day of the next month after the report month, the Service Provision Act is drafted and signed up by the Parties within 3 (three) working days since the date of providing the report. </w:t>
            </w:r>
          </w:p>
          <w:p w14:paraId="312FD783" w14:textId="77777777" w:rsidR="00E61E4A" w:rsidRPr="003E6351" w:rsidRDefault="00E61E4A"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In the case of rendering the services, not specified in the list of the rendered services (Appendix No. 1), the Contractor submits the additional report to the Customer and the Parties sign the additional Service Provision Act which serves as a confirmation of rendering additional services by the Contractor to the Customer</w:t>
            </w:r>
          </w:p>
          <w:p w14:paraId="29A221D5" w14:textId="77777777" w:rsidR="00E61E4A" w:rsidRPr="003E6351" w:rsidRDefault="00E61E4A" w:rsidP="00717BEE">
            <w:pPr>
              <w:rPr>
                <w:rFonts w:asciiTheme="majorBidi" w:hAnsiTheme="majorBidi" w:cstheme="majorBidi"/>
                <w:color w:val="000000"/>
                <w:sz w:val="20"/>
                <w:szCs w:val="20"/>
                <w:lang w:val="en-US"/>
              </w:rPr>
            </w:pPr>
          </w:p>
        </w:tc>
      </w:tr>
      <w:tr w:rsidR="00E61E4A" w:rsidRPr="003E6351" w14:paraId="373E21A3" w14:textId="77777777" w:rsidTr="00805786">
        <w:trPr>
          <w:trHeight w:val="9727"/>
        </w:trPr>
        <w:tc>
          <w:tcPr>
            <w:tcW w:w="206" w:type="pct"/>
            <w:tcBorders>
              <w:right w:val="single" w:sz="4" w:space="0" w:color="000000"/>
            </w:tcBorders>
            <w:shd w:val="clear" w:color="auto" w:fill="D3D3D3"/>
          </w:tcPr>
          <w:p w14:paraId="2228A71B" w14:textId="2C57B3A4" w:rsidR="00E61E4A" w:rsidRPr="003E6351" w:rsidRDefault="006A7127"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lastRenderedPageBreak/>
              <w:t>9</w:t>
            </w:r>
          </w:p>
        </w:tc>
        <w:tc>
          <w:tcPr>
            <w:tcW w:w="2551" w:type="pct"/>
            <w:tcBorders>
              <w:left w:val="single" w:sz="4" w:space="0" w:color="000000"/>
            </w:tcBorders>
            <w:shd w:val="clear" w:color="auto" w:fill="FFFFFF"/>
          </w:tcPr>
          <w:p w14:paraId="6E667B54" w14:textId="77777777" w:rsidR="00E61E4A" w:rsidRPr="003E6351" w:rsidRDefault="00E61E4A" w:rsidP="00717BEE">
            <w:pPr>
              <w:jc w:val="both"/>
              <w:rPr>
                <w:rFonts w:asciiTheme="majorBidi" w:hAnsiTheme="majorBidi" w:cstheme="majorBidi"/>
                <w:sz w:val="20"/>
                <w:szCs w:val="20"/>
                <w:lang w:val="en-US"/>
              </w:rPr>
            </w:pPr>
            <w:r w:rsidRPr="003E6351">
              <w:rPr>
                <w:rFonts w:asciiTheme="majorBidi" w:hAnsiTheme="majorBidi" w:cstheme="majorBidi"/>
                <w:sz w:val="20"/>
                <w:szCs w:val="20"/>
                <w:lang w:val="en-US"/>
              </w:rPr>
              <w:t>Every Shareholder is entitled to a certificate signed by a director or officer of the Company, or any other person authorized by Resolution of Directors, or under the Seal specifying the number of Shares held by him and the signature of the director, officer or authorized person and the Seal may be facsimiles.</w:t>
            </w:r>
          </w:p>
          <w:p w14:paraId="0C9F7D2B" w14:textId="6C9629D8" w:rsidR="00E61E4A" w:rsidRPr="003E6351" w:rsidRDefault="00E61E4A" w:rsidP="00717BEE">
            <w:pPr>
              <w:jc w:val="both"/>
              <w:rPr>
                <w:rFonts w:asciiTheme="majorBidi" w:hAnsiTheme="majorBidi" w:cstheme="majorBidi"/>
                <w:color w:val="000000"/>
                <w:sz w:val="20"/>
                <w:szCs w:val="20"/>
                <w:lang w:val="en-US"/>
              </w:rPr>
            </w:pPr>
            <w:r w:rsidRPr="003E6351">
              <w:rPr>
                <w:rFonts w:asciiTheme="majorBidi" w:hAnsiTheme="majorBidi" w:cstheme="majorBidi"/>
                <w:sz w:val="20"/>
                <w:szCs w:val="20"/>
                <w:lang w:val="en-US"/>
              </w:rPr>
              <w:t xml:space="preserve">Any Shareholder receiving a certificate shall indemnify and hold the Company and its directors and officers harmless from any loss or liability which it or they may incur by reason of any wrongful or fraudulent use or representation made by any person by virtue of the possession thereof. If a certificate for Shares is worn out or lost it may be renewed on </w:t>
            </w:r>
            <w:r w:rsidRPr="003E6351">
              <w:rPr>
                <w:rFonts w:asciiTheme="majorBidi" w:hAnsiTheme="majorBidi" w:cstheme="majorBidi"/>
                <w:color w:val="000000"/>
                <w:sz w:val="20"/>
                <w:szCs w:val="20"/>
                <w:lang w:val="en-US"/>
              </w:rPr>
              <w:t xml:space="preserve">the </w:t>
            </w:r>
            <w:r w:rsidRPr="003E6351">
              <w:rPr>
                <w:rFonts w:asciiTheme="majorBidi" w:hAnsiTheme="majorBidi" w:cstheme="majorBidi"/>
                <w:sz w:val="20"/>
                <w:szCs w:val="20"/>
                <w:lang w:val="en-US"/>
              </w:rPr>
              <w:t>production of the worn out certificate or on satisfactory proof of its toss together with such indemnity as may be required by Resolution of Directors.</w:t>
            </w:r>
          </w:p>
        </w:tc>
        <w:tc>
          <w:tcPr>
            <w:tcW w:w="2243" w:type="pct"/>
            <w:tcBorders>
              <w:right w:val="single" w:sz="4" w:space="0" w:color="000000"/>
            </w:tcBorders>
            <w:shd w:val="clear" w:color="auto" w:fill="FFFFFF"/>
          </w:tcPr>
          <w:p w14:paraId="3C7540C0" w14:textId="77777777" w:rsidR="00E61E4A" w:rsidRPr="003E6351" w:rsidRDefault="00E61E4A"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Каждый Акционер наделен правом на свидетельство, подписанное директором или должностным лицом Компании, или любым другим лицом, уполномоченным Разрешением Директоров, или под Печать, указывающей количество принадлежащих ему Акций и подписи директора, должностного или уполномоченного лица, и Печать может быть факсимильной.</w:t>
            </w:r>
          </w:p>
          <w:p w14:paraId="7941DC70" w14:textId="77777777" w:rsidR="00E61E4A" w:rsidRPr="003E6351" w:rsidRDefault="00E61E4A"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Любой Акционер, получивший свидетельство, должен возместить убытки компании и обеспечить Компанию, её директоров и служащих от любых убытков или ответственности, которую она или они могут понести по причине любого неправомерного или мошеннического использования свидетельства, или заявления сделанное любым человеком на основании владения таковым. Если свидетельство на Акции изношено или утрачено, оно может быть возобновлено по предъявлению изношенного свидетельства, или удовлетворительном доказательстве его уничтожения вместе с таким возмещением убытков, какое будет определено Разрешением Директоров</w:t>
            </w:r>
          </w:p>
          <w:p w14:paraId="5D91A39A" w14:textId="77777777" w:rsidR="00E61E4A" w:rsidRPr="003E6351" w:rsidRDefault="00E61E4A" w:rsidP="00717BEE">
            <w:pPr>
              <w:rPr>
                <w:rFonts w:asciiTheme="majorBidi" w:hAnsiTheme="majorBidi" w:cstheme="majorBidi"/>
                <w:color w:val="000000"/>
                <w:sz w:val="20"/>
                <w:szCs w:val="20"/>
              </w:rPr>
            </w:pPr>
          </w:p>
        </w:tc>
      </w:tr>
      <w:tr w:rsidR="00E61E4A" w:rsidRPr="003E6351" w14:paraId="2D754A0B" w14:textId="77777777" w:rsidTr="00805786">
        <w:trPr>
          <w:trHeight w:val="9727"/>
        </w:trPr>
        <w:tc>
          <w:tcPr>
            <w:tcW w:w="206" w:type="pct"/>
            <w:tcBorders>
              <w:right w:val="single" w:sz="4" w:space="0" w:color="000000"/>
            </w:tcBorders>
            <w:shd w:val="clear" w:color="auto" w:fill="D3D3D3"/>
          </w:tcPr>
          <w:p w14:paraId="70112458" w14:textId="3B9363EF" w:rsidR="00E61E4A" w:rsidRPr="003E6351" w:rsidRDefault="006A7127"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lastRenderedPageBreak/>
              <w:t>10</w:t>
            </w:r>
          </w:p>
        </w:tc>
        <w:tc>
          <w:tcPr>
            <w:tcW w:w="2551" w:type="pct"/>
            <w:tcBorders>
              <w:left w:val="single" w:sz="4" w:space="0" w:color="000000"/>
            </w:tcBorders>
            <w:shd w:val="clear" w:color="auto" w:fill="FFFFFF"/>
          </w:tcPr>
          <w:p w14:paraId="4110582B" w14:textId="77777777" w:rsidR="00E61E4A" w:rsidRPr="003E6351" w:rsidRDefault="00E61E4A" w:rsidP="00717BEE">
            <w:pPr>
              <w:jc w:val="both"/>
              <w:rPr>
                <w:rFonts w:asciiTheme="majorBidi" w:hAnsiTheme="majorBidi" w:cstheme="majorBidi"/>
                <w:sz w:val="20"/>
                <w:szCs w:val="20"/>
              </w:rPr>
            </w:pPr>
            <w:r w:rsidRPr="003E6351">
              <w:rPr>
                <w:rFonts w:asciiTheme="majorBidi" w:hAnsiTheme="majorBidi" w:cstheme="majorBidi"/>
                <w:sz w:val="20"/>
                <w:szCs w:val="20"/>
              </w:rPr>
              <w:t>Данное устройство должно быть заземлено. В случае неисправности или поломки, заземление снижает риск поражения электрическим током. Данное устройство оборудовано шнуром, имеющим проводник заземления и вилку с заземлением.</w:t>
            </w:r>
          </w:p>
          <w:p w14:paraId="2B133DFE" w14:textId="77777777" w:rsidR="00E61E4A" w:rsidRPr="003E6351" w:rsidRDefault="00E61E4A" w:rsidP="00717BEE">
            <w:pPr>
              <w:jc w:val="both"/>
              <w:rPr>
                <w:rFonts w:asciiTheme="majorBidi" w:hAnsiTheme="majorBidi" w:cstheme="majorBidi"/>
                <w:sz w:val="20"/>
                <w:szCs w:val="20"/>
              </w:rPr>
            </w:pPr>
            <w:r w:rsidRPr="003E6351">
              <w:rPr>
                <w:rFonts w:asciiTheme="majorBidi" w:hAnsiTheme="majorBidi" w:cstheme="majorBidi"/>
                <w:sz w:val="20"/>
                <w:szCs w:val="20"/>
              </w:rPr>
              <w:t>Вилку следует вставлять в сетевую розетку, установленную и заземленную в соответствии со всеми местными нормативами и правилами.</w:t>
            </w:r>
          </w:p>
          <w:p w14:paraId="1C3E00FB" w14:textId="77777777" w:rsidR="00E61E4A" w:rsidRPr="003E6351" w:rsidRDefault="00E61E4A" w:rsidP="00717BEE">
            <w:pPr>
              <w:jc w:val="both"/>
              <w:rPr>
                <w:rFonts w:asciiTheme="majorBidi" w:hAnsiTheme="majorBidi" w:cstheme="majorBidi"/>
                <w:sz w:val="20"/>
                <w:szCs w:val="20"/>
              </w:rPr>
            </w:pPr>
            <w:r w:rsidRPr="003E6351">
              <w:rPr>
                <w:rFonts w:asciiTheme="majorBidi" w:hAnsiTheme="majorBidi" w:cstheme="majorBidi"/>
                <w:sz w:val="20"/>
                <w:szCs w:val="20"/>
              </w:rPr>
              <w:t>Неправильное подключение проводника заземления может привести к поражению электрическим током. Если у Вас возникают сомнения, правильно ли заземлено устройство, обратитесь к квалифицированному электрику или в соответствующую службу.</w:t>
            </w:r>
          </w:p>
          <w:p w14:paraId="11B87082" w14:textId="77777777" w:rsidR="00E61E4A" w:rsidRPr="003E6351" w:rsidRDefault="00E61E4A" w:rsidP="00717BEE">
            <w:pPr>
              <w:jc w:val="both"/>
              <w:rPr>
                <w:rFonts w:asciiTheme="majorBidi" w:hAnsiTheme="majorBidi" w:cstheme="majorBidi"/>
                <w:sz w:val="20"/>
                <w:szCs w:val="20"/>
              </w:rPr>
            </w:pPr>
            <w:r w:rsidRPr="003E6351">
              <w:rPr>
                <w:rFonts w:asciiTheme="majorBidi" w:hAnsiTheme="majorBidi" w:cstheme="majorBidi"/>
                <w:sz w:val="20"/>
                <w:szCs w:val="20"/>
              </w:rPr>
              <w:t>Не опирайтесь и не садитесь на дверцу или моечную полку машины.</w:t>
            </w:r>
          </w:p>
          <w:p w14:paraId="5CAC47C4" w14:textId="6BC0DE1A" w:rsidR="00E61E4A" w:rsidRPr="003E6351" w:rsidRDefault="00E61E4A" w:rsidP="00717BEE">
            <w:pPr>
              <w:jc w:val="both"/>
              <w:rPr>
                <w:rFonts w:asciiTheme="majorBidi" w:hAnsiTheme="majorBidi" w:cstheme="majorBidi"/>
                <w:sz w:val="20"/>
                <w:szCs w:val="20"/>
              </w:rPr>
            </w:pPr>
            <w:r w:rsidRPr="003E6351">
              <w:rPr>
                <w:rFonts w:asciiTheme="majorBidi" w:hAnsiTheme="majorBidi" w:cstheme="majorBidi"/>
                <w:sz w:val="20"/>
                <w:szCs w:val="20"/>
              </w:rPr>
              <w:t>Не включайте посудомоечную машину, пока все ограждающие панели не расположены правильно на своих местах.</w:t>
            </w:r>
          </w:p>
        </w:tc>
        <w:tc>
          <w:tcPr>
            <w:tcW w:w="2243" w:type="pct"/>
            <w:tcBorders>
              <w:right w:val="single" w:sz="4" w:space="0" w:color="000000"/>
            </w:tcBorders>
            <w:shd w:val="clear" w:color="auto" w:fill="FFFFFF"/>
          </w:tcPr>
          <w:p w14:paraId="4CC2B13E" w14:textId="77777777" w:rsidR="00590C19" w:rsidRPr="003E6351" w:rsidRDefault="00590C19"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This device must be grounded. In case of malfunction or breakage, grounding reduces the risk of electric shock. This device is equipped with a cord with a grounding conductor and a plug with grounding.</w:t>
            </w:r>
          </w:p>
          <w:p w14:paraId="641673FC" w14:textId="77777777" w:rsidR="00590C19" w:rsidRPr="003E6351" w:rsidRDefault="00590C19"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The plug should be inserted into a plug socket, installed and grounded according to all local regulations and rules.</w:t>
            </w:r>
          </w:p>
          <w:p w14:paraId="4C6C69EE" w14:textId="77777777" w:rsidR="00590C19" w:rsidRPr="003E6351" w:rsidRDefault="00590C19"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Improper grounding conductor connection may lead to electric shock. If you are unsure whether your device is properly grounded, contact a qualified electrician or service provider.</w:t>
            </w:r>
          </w:p>
          <w:p w14:paraId="7628B210" w14:textId="77777777" w:rsidR="00590C19" w:rsidRPr="003E6351" w:rsidRDefault="00590C19"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Do not lean and do not sit on a door or washing shelf of a washing machine.</w:t>
            </w:r>
          </w:p>
          <w:p w14:paraId="584A1786" w14:textId="12441184" w:rsidR="00E61E4A" w:rsidRPr="003E6351" w:rsidRDefault="00590C19"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Do not turn on the dishwasher until all the enclosing panels are properly seated</w:t>
            </w:r>
          </w:p>
        </w:tc>
      </w:tr>
      <w:tr w:rsidR="00590C19" w:rsidRPr="003E6351" w14:paraId="58C4FC59" w14:textId="77777777" w:rsidTr="00805786">
        <w:trPr>
          <w:trHeight w:val="9727"/>
        </w:trPr>
        <w:tc>
          <w:tcPr>
            <w:tcW w:w="206" w:type="pct"/>
            <w:tcBorders>
              <w:right w:val="single" w:sz="4" w:space="0" w:color="000000"/>
            </w:tcBorders>
            <w:shd w:val="clear" w:color="auto" w:fill="D3D3D3"/>
          </w:tcPr>
          <w:p w14:paraId="56B4218C" w14:textId="206D9AFF" w:rsidR="00590C19" w:rsidRPr="003E6351" w:rsidRDefault="006A7127"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lastRenderedPageBreak/>
              <w:t>11</w:t>
            </w:r>
          </w:p>
        </w:tc>
        <w:tc>
          <w:tcPr>
            <w:tcW w:w="2551" w:type="pct"/>
            <w:tcBorders>
              <w:left w:val="single" w:sz="4" w:space="0" w:color="000000"/>
            </w:tcBorders>
            <w:shd w:val="clear" w:color="auto" w:fill="FFFFFF"/>
          </w:tcPr>
          <w:p w14:paraId="2E1435BA" w14:textId="77777777"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Wear protective eyewear at all times; selection depends on the wavelength and intensity of the radiation, the conditions of use, and the visual function required.</w:t>
            </w:r>
          </w:p>
          <w:p w14:paraId="585DE1C2" w14:textId="77777777"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Maintain a high ambient light level in the laser operation area. This keeps the eye's pupil constricted, thus reducing the possibility of eye damage.</w:t>
            </w:r>
          </w:p>
          <w:p w14:paraId="24AAAA5E" w14:textId="77777777"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Keep the protective cover on the laser at all times.</w:t>
            </w:r>
          </w:p>
          <w:p w14:paraId="4256984A" w14:textId="77777777"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Avoid looking at the output beam; even diffuse reflections are hazardous.</w:t>
            </w:r>
          </w:p>
          <w:p w14:paraId="0F1D14F2" w14:textId="77777777"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Avoid wearing jewellery or other objects that may reflect or scatter the beam while using the laser.</w:t>
            </w:r>
          </w:p>
          <w:p w14:paraId="69B93505" w14:textId="77777777"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Use an infrared detector or energy detector to verify that the laser beam is off before working in front of the laser.</w:t>
            </w:r>
          </w:p>
          <w:p w14:paraId="5777CA34" w14:textId="0133E7FF" w:rsidR="00590C19" w:rsidRPr="003E6351" w:rsidRDefault="00590C19" w:rsidP="00717BEE">
            <w:pPr>
              <w:jc w:val="both"/>
              <w:rPr>
                <w:rFonts w:asciiTheme="majorBidi" w:hAnsiTheme="majorBidi" w:cstheme="majorBidi"/>
                <w:sz w:val="20"/>
                <w:szCs w:val="20"/>
                <w:lang w:val="en-US"/>
              </w:rPr>
            </w:pPr>
            <w:r w:rsidRPr="003E6351">
              <w:rPr>
                <w:rFonts w:asciiTheme="majorBidi" w:hAnsiTheme="majorBidi" w:cstheme="majorBidi"/>
                <w:color w:val="000000"/>
                <w:sz w:val="20"/>
                <w:szCs w:val="20"/>
                <w:lang w:val="en-US"/>
              </w:rPr>
              <w:t>Operate the laser at the lowest beam intensity possible, given the requirements of the application.</w:t>
            </w:r>
          </w:p>
        </w:tc>
        <w:tc>
          <w:tcPr>
            <w:tcW w:w="2243" w:type="pct"/>
            <w:tcBorders>
              <w:right w:val="single" w:sz="4" w:space="0" w:color="000000"/>
            </w:tcBorders>
            <w:shd w:val="clear" w:color="auto" w:fill="FFFFFF"/>
          </w:tcPr>
          <w:p w14:paraId="1713B823" w14:textId="77777777" w:rsidR="00590C19"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Всегда одевайте защитные очки.  Выбор защитных очков зависит от длины волны, интенсивности излучения, условий использования и требуемой визуальной функции.</w:t>
            </w:r>
          </w:p>
          <w:p w14:paraId="6A8BC8C4" w14:textId="77777777" w:rsidR="00590C19"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Поддерживайте высокий уровень освещения в зоне действия лазера. Это сужает зрачок глаза уменьшая возможность повреждения глаза.</w:t>
            </w:r>
          </w:p>
          <w:p w14:paraId="0FA1EDEF" w14:textId="77777777" w:rsidR="00590C19"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Всегда держите защитную крышку на лазере.</w:t>
            </w:r>
          </w:p>
          <w:p w14:paraId="52319E6C" w14:textId="77777777" w:rsidR="00590C19"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Не смотрите на выходной луч; даже рассеянные отражения опасны.</w:t>
            </w:r>
          </w:p>
          <w:p w14:paraId="549782B4" w14:textId="77777777" w:rsidR="00590C19"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Избегайте ношения ювелирных изделий и других предметов, которые могут отражать или рассеивать луч при использовании лазера.</w:t>
            </w:r>
          </w:p>
          <w:p w14:paraId="537E1BB1" w14:textId="77777777" w:rsidR="00590C19"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Используйте инфракрасный или энергетический детектор, чтобы убедиться, что лазерный луч выключен.</w:t>
            </w:r>
          </w:p>
          <w:p w14:paraId="27F92926" w14:textId="77777777" w:rsidR="00590C19" w:rsidRPr="003E6351" w:rsidRDefault="00590C19" w:rsidP="00717BEE">
            <w:pPr>
              <w:rPr>
                <w:rFonts w:asciiTheme="majorBidi" w:hAnsiTheme="majorBidi" w:cstheme="majorBidi"/>
                <w:color w:val="000000"/>
                <w:sz w:val="20"/>
                <w:szCs w:val="20"/>
              </w:rPr>
            </w:pPr>
            <w:r w:rsidRPr="003E6351">
              <w:rPr>
                <w:rFonts w:asciiTheme="majorBidi" w:hAnsiTheme="majorBidi" w:cstheme="majorBidi"/>
                <w:color w:val="000000"/>
                <w:sz w:val="20"/>
                <w:szCs w:val="20"/>
              </w:rPr>
              <w:t>Управляйте лазером с самой низкой возможной интенсивностью луча, учитывая требования применения.</w:t>
            </w:r>
          </w:p>
          <w:p w14:paraId="29951EA2" w14:textId="77777777" w:rsidR="00590C19" w:rsidRPr="003E6351" w:rsidRDefault="00590C19" w:rsidP="00717BEE">
            <w:pPr>
              <w:rPr>
                <w:rFonts w:asciiTheme="majorBidi" w:hAnsiTheme="majorBidi" w:cstheme="majorBidi"/>
                <w:color w:val="000000"/>
                <w:sz w:val="20"/>
                <w:szCs w:val="20"/>
              </w:rPr>
            </w:pPr>
          </w:p>
        </w:tc>
      </w:tr>
      <w:tr w:rsidR="00590C19" w:rsidRPr="003E6351" w14:paraId="68071D95" w14:textId="77777777" w:rsidTr="00805786">
        <w:trPr>
          <w:trHeight w:val="9727"/>
        </w:trPr>
        <w:tc>
          <w:tcPr>
            <w:tcW w:w="206" w:type="pct"/>
            <w:tcBorders>
              <w:right w:val="single" w:sz="4" w:space="0" w:color="000000"/>
            </w:tcBorders>
            <w:shd w:val="clear" w:color="auto" w:fill="D3D3D3"/>
          </w:tcPr>
          <w:p w14:paraId="48F7F992" w14:textId="27DFF3F1" w:rsidR="00590C19" w:rsidRPr="003E6351" w:rsidRDefault="006A7127"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lastRenderedPageBreak/>
              <w:t>12</w:t>
            </w:r>
          </w:p>
        </w:tc>
        <w:tc>
          <w:tcPr>
            <w:tcW w:w="2551" w:type="pct"/>
            <w:tcBorders>
              <w:left w:val="single" w:sz="4" w:space="0" w:color="000000"/>
            </w:tcBorders>
            <w:shd w:val="clear" w:color="auto" w:fill="FFFFFF"/>
          </w:tcPr>
          <w:p w14:paraId="2B11DAAA" w14:textId="77777777"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sz w:val="20"/>
                <w:szCs w:val="20"/>
                <w:lang w:val="en-US"/>
              </w:rPr>
              <w:t>The objective of this periodic update clinical evaluation or surveillance report is to establish conformity with the relevant Essential Requirements of the European Medical Device Directive 93/42/EEC.</w:t>
            </w:r>
            <w:r w:rsidRPr="003E6351">
              <w:rPr>
                <w:rFonts w:asciiTheme="majorBidi" w:hAnsiTheme="majorBidi" w:cstheme="majorBidi"/>
                <w:color w:val="000000"/>
                <w:sz w:val="20"/>
                <w:szCs w:val="20"/>
                <w:lang w:val="en-US"/>
              </w:rPr>
              <w:t xml:space="preserve"> </w:t>
            </w:r>
            <w:r w:rsidRPr="003E6351">
              <w:rPr>
                <w:rFonts w:asciiTheme="majorBidi" w:hAnsiTheme="majorBidi" w:cstheme="majorBidi"/>
                <w:sz w:val="20"/>
                <w:szCs w:val="20"/>
                <w:lang w:val="en-US"/>
              </w:rPr>
              <w:t>The planning and execution of the clinical evaluation is conducted in accordance with the principles of MEDDEV 2.7/1 Revision 4.</w:t>
            </w:r>
          </w:p>
          <w:p w14:paraId="66FE8093" w14:textId="77777777"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Planning for this annual clinical evaluation update involved the identification and evaluation of relevant clinical data on the devices within the coronary balloon dilatation catheter family. The clinical data sources for this annual update on the subject devices include published literature and post-market surveillance (PMS) data for the time period 01 January 2016 through 30 April 2017.</w:t>
            </w:r>
          </w:p>
          <w:p w14:paraId="6C2E20D1" w14:textId="4C9778EB" w:rsidR="00590C19" w:rsidRPr="003E6351" w:rsidRDefault="00590C19" w:rsidP="00717BEE">
            <w:pPr>
              <w:jc w:val="both"/>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 xml:space="preserve">During the development of this periodic clinical evaluation, a Corrective Action/Preventive Action (CAPA) was opened </w:t>
            </w:r>
            <w:r w:rsidRPr="003E6351">
              <w:rPr>
                <w:rFonts w:asciiTheme="majorBidi" w:hAnsiTheme="majorBidi" w:cstheme="majorBidi"/>
                <w:color w:val="333333"/>
                <w:sz w:val="20"/>
                <w:szCs w:val="20"/>
                <w:lang w:val="en-US"/>
              </w:rPr>
              <w:t>due to 19 reports of injury and one report of death associated with difficulty removing the protective balloon sheath resulting in issues with inflating or deflating the balloon.</w:t>
            </w:r>
          </w:p>
        </w:tc>
        <w:tc>
          <w:tcPr>
            <w:tcW w:w="2243" w:type="pct"/>
            <w:tcBorders>
              <w:right w:val="single" w:sz="4" w:space="0" w:color="000000"/>
            </w:tcBorders>
            <w:shd w:val="clear" w:color="auto" w:fill="FFFFFF"/>
          </w:tcPr>
          <w:p w14:paraId="3684E488" w14:textId="63D0CF84" w:rsidR="00590C19" w:rsidRPr="003E6351" w:rsidRDefault="00590C19" w:rsidP="00717BEE">
            <w:pPr>
              <w:pStyle w:val="a9"/>
              <w:ind w:left="0"/>
              <w:jc w:val="both"/>
              <w:rPr>
                <w:rFonts w:asciiTheme="majorBidi" w:hAnsiTheme="majorBidi" w:cstheme="majorBidi"/>
                <w:color w:val="000000"/>
                <w:sz w:val="20"/>
                <w:szCs w:val="20"/>
              </w:rPr>
            </w:pPr>
            <w:r w:rsidRPr="003E6351">
              <w:rPr>
                <w:rFonts w:asciiTheme="majorBidi" w:hAnsiTheme="majorBidi" w:cstheme="majorBidi"/>
                <w:color w:val="000000"/>
                <w:sz w:val="20"/>
                <w:szCs w:val="20"/>
              </w:rPr>
              <w:t xml:space="preserve">Цель данного периодического обновления клинической оценки или отчёта о наблюдении заключается в установлении соответствия с действующими Основными Требованиями Европейской Директивы по медицинскому оборудованию 93/42/ЕЕС. Планирование и проведение клинического оценивания проводится в соответствии с принципами </w:t>
            </w:r>
            <w:r w:rsidRPr="003E6351">
              <w:rPr>
                <w:rFonts w:asciiTheme="majorBidi" w:hAnsiTheme="majorBidi" w:cstheme="majorBidi"/>
                <w:color w:val="000000"/>
                <w:sz w:val="20"/>
                <w:szCs w:val="20"/>
                <w:lang w:val="en-US"/>
              </w:rPr>
              <w:t>MEDDEV</w:t>
            </w:r>
            <w:r w:rsidRPr="003E6351">
              <w:rPr>
                <w:rFonts w:asciiTheme="majorBidi" w:hAnsiTheme="majorBidi" w:cstheme="majorBidi"/>
                <w:color w:val="000000"/>
                <w:sz w:val="20"/>
                <w:szCs w:val="20"/>
              </w:rPr>
              <w:t xml:space="preserve"> 2.7/1 4-й редакции.</w:t>
            </w:r>
          </w:p>
          <w:p w14:paraId="234011AF" w14:textId="77777777" w:rsidR="00590C19" w:rsidRPr="003E6351" w:rsidRDefault="00590C19" w:rsidP="00717BEE">
            <w:pPr>
              <w:pStyle w:val="a9"/>
              <w:ind w:left="0"/>
              <w:jc w:val="both"/>
              <w:rPr>
                <w:rFonts w:asciiTheme="majorBidi" w:hAnsiTheme="majorBidi" w:cstheme="majorBidi"/>
                <w:color w:val="000000"/>
                <w:sz w:val="20"/>
                <w:szCs w:val="20"/>
              </w:rPr>
            </w:pPr>
            <w:r w:rsidRPr="003E6351">
              <w:rPr>
                <w:rFonts w:asciiTheme="majorBidi" w:hAnsiTheme="majorBidi" w:cstheme="majorBidi"/>
                <w:color w:val="000000"/>
                <w:sz w:val="20"/>
                <w:szCs w:val="20"/>
              </w:rPr>
              <w:t>Планирование этого ежегодного обновления клинической оценки включало идентификацию и оценивание соответствующих клинических данных устройств семейства коронарных катетеров для баллонной дилатации. Клинические источники данных этого ежегодного обновления устройств включают в себя опубликованную литературу и данные послепродажного контроля (ППК) за период с 01 января 2016 года по 30 апреля 2017 года.</w:t>
            </w:r>
          </w:p>
          <w:p w14:paraId="6BF32151" w14:textId="77777777" w:rsidR="00590C19" w:rsidRPr="003E6351" w:rsidRDefault="00590C19" w:rsidP="00717BEE">
            <w:pPr>
              <w:pStyle w:val="a9"/>
              <w:ind w:left="0"/>
              <w:jc w:val="both"/>
              <w:rPr>
                <w:rFonts w:asciiTheme="majorBidi" w:hAnsiTheme="majorBidi" w:cstheme="majorBidi"/>
                <w:color w:val="000000"/>
                <w:sz w:val="20"/>
                <w:szCs w:val="20"/>
              </w:rPr>
            </w:pPr>
            <w:r w:rsidRPr="003E6351">
              <w:rPr>
                <w:rFonts w:asciiTheme="majorBidi" w:hAnsiTheme="majorBidi" w:cstheme="majorBidi"/>
                <w:color w:val="000000"/>
                <w:sz w:val="20"/>
                <w:szCs w:val="20"/>
              </w:rPr>
              <w:t>В ходе проведения этого периодического клинического оценивания был открыт план Профилактики и Устранению Недостатков (ПУН) в связи с 19-ти докладах о ранениях и 1-м докладе о смерти, связанных с трудностями удаления защитной оболочки баллона что привело к его надуванию или выпуску воздуха из него</w:t>
            </w:r>
          </w:p>
          <w:p w14:paraId="40ADD668" w14:textId="77777777" w:rsidR="00590C19" w:rsidRPr="003E6351" w:rsidRDefault="00590C19" w:rsidP="00717BEE">
            <w:pPr>
              <w:rPr>
                <w:rFonts w:asciiTheme="majorBidi" w:hAnsiTheme="majorBidi" w:cstheme="majorBidi"/>
                <w:color w:val="000000"/>
                <w:sz w:val="20"/>
                <w:szCs w:val="20"/>
              </w:rPr>
            </w:pPr>
          </w:p>
        </w:tc>
      </w:tr>
      <w:tr w:rsidR="00590C19" w:rsidRPr="003E6351" w14:paraId="0EC232ED" w14:textId="77777777" w:rsidTr="00805786">
        <w:trPr>
          <w:trHeight w:val="9727"/>
        </w:trPr>
        <w:tc>
          <w:tcPr>
            <w:tcW w:w="206" w:type="pct"/>
            <w:tcBorders>
              <w:right w:val="single" w:sz="4" w:space="0" w:color="000000"/>
            </w:tcBorders>
            <w:shd w:val="clear" w:color="auto" w:fill="D3D3D3"/>
          </w:tcPr>
          <w:p w14:paraId="029FD300" w14:textId="559E2D15" w:rsidR="00590C19" w:rsidRPr="003E6351" w:rsidRDefault="006A7127" w:rsidP="00717BEE">
            <w:pPr>
              <w:rPr>
                <w:rFonts w:asciiTheme="majorBidi" w:eastAsia="Arial Unicode MS" w:hAnsiTheme="majorBidi" w:cstheme="majorBidi"/>
                <w:sz w:val="20"/>
                <w:szCs w:val="20"/>
              </w:rPr>
            </w:pPr>
            <w:r w:rsidRPr="003E6351">
              <w:rPr>
                <w:rFonts w:asciiTheme="majorBidi" w:eastAsia="Arial Unicode MS" w:hAnsiTheme="majorBidi" w:cstheme="majorBidi"/>
                <w:sz w:val="20"/>
                <w:szCs w:val="20"/>
              </w:rPr>
              <w:lastRenderedPageBreak/>
              <w:t>13</w:t>
            </w:r>
          </w:p>
        </w:tc>
        <w:tc>
          <w:tcPr>
            <w:tcW w:w="2551" w:type="pct"/>
            <w:tcBorders>
              <w:left w:val="single" w:sz="4" w:space="0" w:color="000000"/>
            </w:tcBorders>
            <w:shd w:val="clear" w:color="auto" w:fill="FFFFFF"/>
          </w:tcPr>
          <w:p w14:paraId="486E492B" w14:textId="04A7E0C4" w:rsidR="00590C19" w:rsidRPr="003E6351" w:rsidRDefault="00590C19" w:rsidP="00717BEE">
            <w:pPr>
              <w:jc w:val="both"/>
              <w:rPr>
                <w:rFonts w:asciiTheme="majorBidi" w:hAnsiTheme="majorBidi" w:cstheme="majorBidi"/>
                <w:sz w:val="20"/>
                <w:szCs w:val="20"/>
              </w:rPr>
            </w:pPr>
            <w:r w:rsidRPr="003E6351">
              <w:rPr>
                <w:rFonts w:asciiTheme="majorBidi" w:hAnsiTheme="majorBidi" w:cstheme="majorBidi"/>
                <w:sz w:val="20"/>
                <w:szCs w:val="20"/>
              </w:rPr>
              <w:t>Из результатов исследований установлено, что общее состояние опытной группы кроликов не изменялось относительно контрольной группы ни в период 6-ти месячного введения препарата, ни через 1 месяц после его отмены. Шерстный покров и видимые слизистые оболочки у животных были чистыми и блестящими. В поведении опытных кроликов также не отмечено существенных изменений, животные были активны и дружелюбны. При этом в опытной группе крольчихи были более активны и подвижны, тогда как кроли были спокойными и менее активными не только в сравнении с опытными самками, но и в сравнении с контролем.</w:t>
            </w:r>
          </w:p>
        </w:tc>
        <w:tc>
          <w:tcPr>
            <w:tcW w:w="2243" w:type="pct"/>
            <w:tcBorders>
              <w:right w:val="single" w:sz="4" w:space="0" w:color="000000"/>
            </w:tcBorders>
            <w:shd w:val="clear" w:color="auto" w:fill="FFFFFF"/>
          </w:tcPr>
          <w:p w14:paraId="184A788B" w14:textId="18BE7AEA" w:rsidR="00590C19" w:rsidRPr="003E6351" w:rsidRDefault="00590C19" w:rsidP="00717BEE">
            <w:pPr>
              <w:rPr>
                <w:rFonts w:asciiTheme="majorBidi" w:hAnsiTheme="majorBidi" w:cstheme="majorBidi"/>
                <w:color w:val="000000"/>
                <w:sz w:val="20"/>
                <w:szCs w:val="20"/>
                <w:lang w:val="en-US"/>
              </w:rPr>
            </w:pPr>
            <w:r w:rsidRPr="003E6351">
              <w:rPr>
                <w:rFonts w:asciiTheme="majorBidi" w:hAnsiTheme="majorBidi" w:cstheme="majorBidi"/>
                <w:color w:val="000000"/>
                <w:sz w:val="20"/>
                <w:szCs w:val="20"/>
                <w:lang w:val="en-US"/>
              </w:rPr>
              <w:t xml:space="preserve">According to the results of researches, was discovered that the general state of the experimental group of rabbits hasn’t been changing in comparison with observational group neither during 6 monthly administrations of drugs, nor during 1 month after its cancellation. Animals had the clean and brilliant wool cover and visible mucous membranes. Behavior changes of experimental rabbits were not </w:t>
            </w:r>
            <w:r w:rsidR="00D96EC4" w:rsidRPr="003E6351">
              <w:rPr>
                <w:rFonts w:asciiTheme="majorBidi" w:hAnsiTheme="majorBidi" w:cstheme="majorBidi"/>
                <w:color w:val="000000"/>
                <w:sz w:val="20"/>
                <w:szCs w:val="20"/>
                <w:lang w:val="en-US"/>
              </w:rPr>
              <w:t>observed;</w:t>
            </w:r>
            <w:r w:rsidRPr="003E6351">
              <w:rPr>
                <w:rFonts w:asciiTheme="majorBidi" w:hAnsiTheme="majorBidi" w:cstheme="majorBidi"/>
                <w:color w:val="000000"/>
                <w:sz w:val="20"/>
                <w:szCs w:val="20"/>
                <w:lang w:val="en-US"/>
              </w:rPr>
              <w:t xml:space="preserve"> animals were active and amicable. Herewith, doe-rabbits in the experimental group were more active and mobile, whereas, the male rabbits were quiet and less active not only in comparison with doe-rabbits in the experimental group but also in comparison with rabbits in the observational group</w:t>
            </w:r>
          </w:p>
          <w:p w14:paraId="49F9C9DE" w14:textId="77777777" w:rsidR="00590C19" w:rsidRPr="003E6351" w:rsidRDefault="00590C19" w:rsidP="00717BEE">
            <w:pPr>
              <w:pStyle w:val="a9"/>
              <w:ind w:left="0"/>
              <w:jc w:val="both"/>
              <w:rPr>
                <w:rFonts w:asciiTheme="majorBidi" w:hAnsiTheme="majorBidi" w:cstheme="majorBidi"/>
                <w:color w:val="000000"/>
                <w:sz w:val="20"/>
                <w:szCs w:val="20"/>
                <w:lang w:val="en-US"/>
              </w:rPr>
            </w:pPr>
          </w:p>
        </w:tc>
      </w:tr>
      <w:tr w:rsidR="000F7628" w:rsidRPr="003E6351" w14:paraId="096CC56C" w14:textId="77777777" w:rsidTr="00805786">
        <w:trPr>
          <w:trHeight w:val="9727"/>
        </w:trPr>
        <w:tc>
          <w:tcPr>
            <w:tcW w:w="206" w:type="pct"/>
            <w:tcBorders>
              <w:right w:val="single" w:sz="4" w:space="0" w:color="000000"/>
            </w:tcBorders>
            <w:shd w:val="clear" w:color="auto" w:fill="D3D3D3"/>
          </w:tcPr>
          <w:p w14:paraId="25883168" w14:textId="303451E0" w:rsidR="000F7628" w:rsidRPr="003E6351" w:rsidRDefault="006A7127" w:rsidP="00717BEE">
            <w:pPr>
              <w:rPr>
                <w:rFonts w:asciiTheme="majorBidi" w:eastAsia="Arial Unicode MS" w:hAnsiTheme="majorBidi" w:cstheme="majorBidi"/>
                <w:sz w:val="20"/>
                <w:szCs w:val="20"/>
                <w:lang w:val="en-US"/>
              </w:rPr>
            </w:pPr>
            <w:r w:rsidRPr="003E6351">
              <w:rPr>
                <w:rFonts w:asciiTheme="majorBidi" w:eastAsia="Arial Unicode MS" w:hAnsiTheme="majorBidi" w:cstheme="majorBidi"/>
                <w:sz w:val="20"/>
                <w:szCs w:val="20"/>
                <w:lang w:val="en-US"/>
              </w:rPr>
              <w:lastRenderedPageBreak/>
              <w:t>14</w:t>
            </w:r>
          </w:p>
        </w:tc>
        <w:tc>
          <w:tcPr>
            <w:tcW w:w="2551" w:type="pct"/>
            <w:tcBorders>
              <w:left w:val="single" w:sz="4" w:space="0" w:color="000000"/>
            </w:tcBorders>
            <w:shd w:val="clear" w:color="auto" w:fill="FFFFFF"/>
          </w:tcPr>
          <w:p w14:paraId="579ABF06" w14:textId="77777777" w:rsidR="00D724F4" w:rsidRPr="003E6351" w:rsidRDefault="00D724F4" w:rsidP="00D724F4">
            <w:pPr>
              <w:pStyle w:val="ad"/>
              <w:rPr>
                <w:rFonts w:asciiTheme="majorBidi" w:hAnsiTheme="majorBidi"/>
                <w:sz w:val="20"/>
                <w:szCs w:val="20"/>
                <w:lang w:val="en-US"/>
              </w:rPr>
            </w:pPr>
            <w:r w:rsidRPr="003E6351">
              <w:rPr>
                <w:rFonts w:asciiTheme="majorBidi" w:hAnsiTheme="majorBidi"/>
                <w:sz w:val="20"/>
                <w:szCs w:val="20"/>
                <w:lang w:val="en-US"/>
              </w:rPr>
              <w:t xml:space="preserve">TEXT 9 JUSTICE AND HOME AFFAIRS </w:t>
            </w:r>
          </w:p>
          <w:p w14:paraId="669F40B0" w14:textId="77777777" w:rsidR="00D724F4" w:rsidRPr="003E6351" w:rsidRDefault="00D724F4" w:rsidP="00D724F4">
            <w:pPr>
              <w:pStyle w:val="ac"/>
              <w:rPr>
                <w:rFonts w:asciiTheme="majorBidi" w:hAnsiTheme="majorBidi" w:cstheme="majorBidi"/>
                <w:sz w:val="20"/>
                <w:szCs w:val="20"/>
                <w:lang w:val="en-US"/>
              </w:rPr>
            </w:pPr>
            <w:r w:rsidRPr="003E6351">
              <w:rPr>
                <w:rFonts w:asciiTheme="majorBidi" w:hAnsiTheme="majorBidi" w:cstheme="majorBidi"/>
                <w:sz w:val="20"/>
                <w:szCs w:val="20"/>
                <w:lang w:val="en-US"/>
              </w:rPr>
              <w:t>European Union member states have for some time sought to act jointly against the threat posed by international and other terrorism. They have agreed not to export weapons and other military equipment to countries clearly implicated in sponsoring terrorist activity, and to take measures to prevent such material being diverted for terrorist purposes. The EU member states believe that no concessions should be made up to terrorists or their sponsors and that every effort should be made to prevent terrorism and to bring guilty to justice. Regular meetings of ministers responsible for police and criminal issues take place to develop and discuss co-operative measures to prevent, investigate and prosecute terrorist offenses and other serious crime. Such measures include the exchange of police liaison officers and a regular joint assessment of the terrorist threat. Member states also agreed to set up a central European Police Office (EUROPOL) to help combat illegal drugs trafficking and other serious forms of organized crime.</w:t>
            </w:r>
          </w:p>
          <w:p w14:paraId="74DC2E88" w14:textId="77777777" w:rsidR="000F7628" w:rsidRPr="003E6351" w:rsidRDefault="000F7628" w:rsidP="00717BEE">
            <w:pPr>
              <w:jc w:val="both"/>
              <w:rPr>
                <w:rFonts w:asciiTheme="majorBidi" w:hAnsiTheme="majorBidi" w:cstheme="majorBidi"/>
                <w:sz w:val="20"/>
                <w:szCs w:val="20"/>
                <w:lang w:val="en-US"/>
              </w:rPr>
            </w:pPr>
          </w:p>
        </w:tc>
        <w:tc>
          <w:tcPr>
            <w:tcW w:w="2243" w:type="pct"/>
            <w:tcBorders>
              <w:right w:val="single" w:sz="4" w:space="0" w:color="000000"/>
            </w:tcBorders>
            <w:shd w:val="clear" w:color="auto" w:fill="FFFFFF"/>
          </w:tcPr>
          <w:p w14:paraId="51218233" w14:textId="77777777" w:rsidR="00B04C60" w:rsidRPr="003E6351" w:rsidRDefault="00B04C60" w:rsidP="00B04C60">
            <w:pPr>
              <w:pStyle w:val="ab"/>
              <w:rPr>
                <w:rFonts w:asciiTheme="majorBidi" w:hAnsiTheme="majorBidi" w:cstheme="majorBidi"/>
                <w:sz w:val="20"/>
                <w:szCs w:val="20"/>
              </w:rPr>
            </w:pPr>
            <w:r w:rsidRPr="003E6351">
              <w:rPr>
                <w:rFonts w:asciiTheme="majorBidi" w:hAnsiTheme="majorBidi" w:cstheme="majorBidi"/>
                <w:sz w:val="20"/>
                <w:szCs w:val="20"/>
                <w:lang w:val="uk-UA"/>
              </w:rPr>
              <w:t xml:space="preserve">ТЕКСТ 9 ПРАВОСУДДЯ І ВНУТРІШНІ СПРАВИ </w:t>
            </w:r>
          </w:p>
          <w:p w14:paraId="0D8CC70E" w14:textId="77777777" w:rsidR="00B04C60" w:rsidRPr="003E6351" w:rsidRDefault="00B04C60" w:rsidP="00B04C60">
            <w:pPr>
              <w:pStyle w:val="ac"/>
              <w:rPr>
                <w:rFonts w:asciiTheme="majorBidi" w:hAnsiTheme="majorBidi" w:cstheme="majorBidi"/>
                <w:sz w:val="20"/>
                <w:szCs w:val="20"/>
                <w:lang w:val="uk-UA"/>
              </w:rPr>
            </w:pPr>
            <w:r w:rsidRPr="003E6351">
              <w:rPr>
                <w:rFonts w:asciiTheme="majorBidi" w:hAnsiTheme="majorBidi" w:cstheme="majorBidi"/>
                <w:sz w:val="20"/>
                <w:szCs w:val="20"/>
                <w:lang w:val="uk-UA"/>
              </w:rPr>
              <w:t>Держави-учасниці Європейського Союзу протягом деякого часу прагнули спільно діяти проти загрози, пов'язаної з міжнародним та іншими видами тероризму. Вони домовилися не експортувати зброю та іншу військову техніку до країн, явно причетних до спонсорування терористичної діяльності, та вжити  заходів щодо запобігання використання таких предметів у терористичних цілях. Держави-учасниці ЄС вважають, що не слід йти на поступки терористам або їх спонсорам і що необхідно докласти всі зусилля для запобігання тероризму та притягнення винних до відповідальності. Проводяться регулярні засідання міністрів, відповідальних за поліцію і злочинність, з метою розробки та координації спільних заходів щодо попередження, розслідування і судового переслідування злочинної терористичної діяльності  та інших серйозних злочинів. Такі заходи включають обмін офіцерів зв'язку поліції і регулярну спільну процедуру оцінування терористичної загрози. Також, держави-учасниці домовилися створити центральне Європейське Поліцейське Управління (Європол) з метою сприяння боротьбі з незаконним обігом наркотиків та іншими серйозними формами організованої злочинності.</w:t>
            </w:r>
          </w:p>
          <w:p w14:paraId="3DF209BF" w14:textId="77777777" w:rsidR="000F7628" w:rsidRPr="003E6351" w:rsidRDefault="000F7628" w:rsidP="00717BEE">
            <w:pPr>
              <w:rPr>
                <w:rFonts w:asciiTheme="majorBidi" w:hAnsiTheme="majorBidi" w:cstheme="majorBidi"/>
                <w:color w:val="000000"/>
                <w:sz w:val="20"/>
                <w:szCs w:val="20"/>
                <w:lang w:val="uk-UA"/>
              </w:rPr>
            </w:pPr>
          </w:p>
        </w:tc>
      </w:tr>
      <w:tr w:rsidR="00D724F4" w:rsidRPr="003E6351" w14:paraId="1A15B42D" w14:textId="77777777" w:rsidTr="00805786">
        <w:trPr>
          <w:trHeight w:val="9727"/>
        </w:trPr>
        <w:tc>
          <w:tcPr>
            <w:tcW w:w="206" w:type="pct"/>
            <w:tcBorders>
              <w:right w:val="single" w:sz="4" w:space="0" w:color="000000"/>
            </w:tcBorders>
            <w:shd w:val="clear" w:color="auto" w:fill="D3D3D3"/>
          </w:tcPr>
          <w:p w14:paraId="1C5D7480" w14:textId="6235D0A5" w:rsidR="00D724F4" w:rsidRPr="003E6351" w:rsidRDefault="006A7127" w:rsidP="00717BEE">
            <w:pPr>
              <w:rPr>
                <w:rFonts w:asciiTheme="majorBidi" w:eastAsia="Arial Unicode MS" w:hAnsiTheme="majorBidi" w:cstheme="majorBidi"/>
                <w:sz w:val="20"/>
                <w:szCs w:val="20"/>
                <w:lang w:val="uk-UA"/>
              </w:rPr>
            </w:pPr>
            <w:r w:rsidRPr="003E6351">
              <w:rPr>
                <w:rFonts w:asciiTheme="majorBidi" w:eastAsia="Arial Unicode MS" w:hAnsiTheme="majorBidi" w:cstheme="majorBidi"/>
                <w:sz w:val="20"/>
                <w:szCs w:val="20"/>
                <w:lang w:val="uk-UA"/>
              </w:rPr>
              <w:lastRenderedPageBreak/>
              <w:t>15</w:t>
            </w:r>
          </w:p>
        </w:tc>
        <w:tc>
          <w:tcPr>
            <w:tcW w:w="2551" w:type="pct"/>
            <w:tcBorders>
              <w:left w:val="single" w:sz="4" w:space="0" w:color="000000"/>
            </w:tcBorders>
            <w:shd w:val="clear" w:color="auto" w:fill="FFFFFF"/>
          </w:tcPr>
          <w:p w14:paraId="4DADDD64" w14:textId="77777777" w:rsidR="00D724F4" w:rsidRPr="003E6351" w:rsidRDefault="00D724F4" w:rsidP="00D724F4">
            <w:pPr>
              <w:pStyle w:val="ac"/>
              <w:rPr>
                <w:rFonts w:asciiTheme="majorBidi" w:hAnsiTheme="majorBidi" w:cstheme="majorBidi"/>
                <w:sz w:val="20"/>
                <w:szCs w:val="20"/>
                <w:lang w:val="en-US"/>
              </w:rPr>
            </w:pPr>
            <w:r w:rsidRPr="003E6351">
              <w:rPr>
                <w:rFonts w:asciiTheme="majorBidi" w:hAnsiTheme="majorBidi" w:cstheme="majorBidi"/>
                <w:sz w:val="20"/>
                <w:szCs w:val="20"/>
                <w:lang w:val="en-US"/>
              </w:rPr>
              <w:t xml:space="preserve">TEXT 10 </w:t>
            </w:r>
          </w:p>
          <w:p w14:paraId="22132444" w14:textId="77777777" w:rsidR="00D724F4" w:rsidRPr="003E6351" w:rsidRDefault="00D724F4" w:rsidP="00D724F4">
            <w:pPr>
              <w:pStyle w:val="ac"/>
              <w:rPr>
                <w:rFonts w:asciiTheme="majorBidi" w:hAnsiTheme="majorBidi" w:cstheme="majorBidi"/>
                <w:sz w:val="20"/>
                <w:szCs w:val="20"/>
              </w:rPr>
            </w:pPr>
            <w:r w:rsidRPr="003E6351">
              <w:rPr>
                <w:rFonts w:asciiTheme="majorBidi" w:hAnsiTheme="majorBidi" w:cstheme="majorBidi"/>
                <w:sz w:val="20"/>
                <w:szCs w:val="20"/>
              </w:rPr>
              <w:t>Паролем</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для</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політики</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ЄС</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у</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соціальній</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галузі</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і</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галузі</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зайнятості</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є</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слова</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більше</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кращих</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робочих</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місць</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та</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рівні</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можливості</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ЄС бажає, аби всі люди мали знання, необхідні для адекватного пристосування до змін за умов економіки, що грунтується на знаннях. Політика ЄС у соціальній галузі та галузі зайнятості є ключовими компонентами так званого «Лісабонського порядку денного» —політичної структури для забезпечення розвитку та створення нових робочих місць. Двома наріжними каменями політики ЄС у соціальній галузі і галузі зайнятості є Європейська Стратегія Зайнятості , спрямована на створення робочих місць та реформування ринку праці, та Соціальний Порядок Денний , розроблений задля того, аби забезпечити можливість кожній людині у суспільстві і кожному регіону в межах ЄС відчути переваги економічного розвитку. Спільні пріоритети та індивідуальні цілі політики у галузі зайнятості країн-членів визначаються у Директивах стосовно Політики Зайнятості , що узгоджуються спільно всіма країнами-членами на період у декілька років . Ці директиви виступають основою для розробки національних програм реформування . Вони охоплюють усі дії ЄС стосовно сприяння розвитку знань та інновацій; допомагають робити Європу більш привабливою для інвестицій та роботи ; та створюють додаткові і більш якісні робочі місця .</w:t>
            </w:r>
          </w:p>
          <w:p w14:paraId="484B1928" w14:textId="77777777" w:rsidR="00D724F4" w:rsidRPr="003E6351" w:rsidRDefault="00D724F4" w:rsidP="00D724F4">
            <w:pPr>
              <w:pStyle w:val="ad"/>
              <w:rPr>
                <w:rFonts w:asciiTheme="majorBidi" w:hAnsiTheme="majorBidi"/>
                <w:sz w:val="20"/>
                <w:szCs w:val="20"/>
              </w:rPr>
            </w:pPr>
          </w:p>
        </w:tc>
        <w:tc>
          <w:tcPr>
            <w:tcW w:w="2243" w:type="pct"/>
            <w:tcBorders>
              <w:right w:val="single" w:sz="4" w:space="0" w:color="000000"/>
            </w:tcBorders>
            <w:shd w:val="clear" w:color="auto" w:fill="FFFFFF"/>
          </w:tcPr>
          <w:p w14:paraId="0D2119C7" w14:textId="77777777" w:rsidR="006A7127" w:rsidRPr="003E6351" w:rsidRDefault="006A7127" w:rsidP="006A7127">
            <w:pPr>
              <w:pStyle w:val="ac"/>
              <w:rPr>
                <w:rFonts w:asciiTheme="majorBidi" w:hAnsiTheme="majorBidi" w:cstheme="majorBidi"/>
                <w:sz w:val="20"/>
                <w:szCs w:val="20"/>
                <w:lang w:val="en-US"/>
              </w:rPr>
            </w:pPr>
            <w:r w:rsidRPr="003E6351">
              <w:rPr>
                <w:rFonts w:asciiTheme="majorBidi" w:hAnsiTheme="majorBidi" w:cstheme="majorBidi"/>
                <w:sz w:val="20"/>
                <w:szCs w:val="20"/>
                <w:lang w:val="en-US"/>
              </w:rPr>
              <w:t xml:space="preserve">TEXT 10 </w:t>
            </w:r>
          </w:p>
          <w:p w14:paraId="49E6AB54" w14:textId="77777777" w:rsidR="006A7127" w:rsidRPr="003E6351" w:rsidRDefault="006A7127" w:rsidP="006A7127">
            <w:pPr>
              <w:pStyle w:val="ac"/>
              <w:rPr>
                <w:rFonts w:asciiTheme="majorBidi" w:hAnsiTheme="majorBidi" w:cstheme="majorBidi"/>
                <w:sz w:val="20"/>
                <w:szCs w:val="20"/>
                <w:lang w:val="en-US"/>
              </w:rPr>
            </w:pPr>
            <w:r w:rsidRPr="003E6351">
              <w:rPr>
                <w:rFonts w:asciiTheme="majorBidi" w:hAnsiTheme="majorBidi" w:cstheme="majorBidi"/>
                <w:sz w:val="20"/>
                <w:szCs w:val="20"/>
                <w:lang w:val="en-US"/>
              </w:rPr>
              <w:t>The watchword for the EU social and employment policy is the following 'bigger amount of better jobs' and 'equal opportunities'. The EU wants all people to have the knowledge necessary to adapt adequately to changes in the knowledge-based economy. EU social and employment policy is a key component of the so-called "Lisbon agenda" —a political structure of development and new job formation assurance. The two cornerstones of the EU's social and employment policy are the European Employment Strategy, aimed at new job formation and the labour market reforming, and the Social Agenda, designed to enable everyone in society and every region within the EU to enjoy the benefits of economic development. The joint priorities and the individual objectives of the employment policy of the member countries are defined by the Employment Guidelines, that is jointly coordinated by all member countries for a period of several years. These directives form the basis for the development of national reform programmes . They cover all EU actions related to knowledge and innovation promotion, help Europe be more attractive in investment and work purposes, and create additional and better jobs.</w:t>
            </w:r>
          </w:p>
          <w:p w14:paraId="0410F864" w14:textId="77777777" w:rsidR="00D724F4" w:rsidRPr="003E6351" w:rsidRDefault="00D724F4" w:rsidP="00717BEE">
            <w:pPr>
              <w:rPr>
                <w:rFonts w:asciiTheme="majorBidi" w:hAnsiTheme="majorBidi" w:cstheme="majorBidi"/>
                <w:color w:val="000000"/>
                <w:sz w:val="20"/>
                <w:szCs w:val="20"/>
                <w:lang w:val="en-US"/>
              </w:rPr>
            </w:pPr>
          </w:p>
        </w:tc>
      </w:tr>
      <w:tr w:rsidR="003E6351" w:rsidRPr="003E6351" w14:paraId="703BD8F4" w14:textId="77777777" w:rsidTr="00805786">
        <w:trPr>
          <w:trHeight w:val="9727"/>
        </w:trPr>
        <w:tc>
          <w:tcPr>
            <w:tcW w:w="206" w:type="pct"/>
            <w:tcBorders>
              <w:right w:val="single" w:sz="4" w:space="0" w:color="000000"/>
            </w:tcBorders>
            <w:shd w:val="clear" w:color="auto" w:fill="D3D3D3"/>
          </w:tcPr>
          <w:p w14:paraId="39029F53" w14:textId="77777777" w:rsidR="003E6351" w:rsidRPr="003E6351" w:rsidRDefault="003E6351" w:rsidP="00717BEE">
            <w:pPr>
              <w:rPr>
                <w:rFonts w:asciiTheme="majorBidi" w:eastAsia="Arial Unicode MS" w:hAnsiTheme="majorBidi" w:cstheme="majorBidi"/>
                <w:sz w:val="20"/>
                <w:szCs w:val="20"/>
                <w:lang w:val="uk-UA"/>
              </w:rPr>
            </w:pPr>
          </w:p>
        </w:tc>
        <w:tc>
          <w:tcPr>
            <w:tcW w:w="2551" w:type="pct"/>
            <w:tcBorders>
              <w:left w:val="single" w:sz="4" w:space="0" w:color="000000"/>
            </w:tcBorders>
            <w:shd w:val="clear" w:color="auto" w:fill="FFFFFF"/>
          </w:tcPr>
          <w:p w14:paraId="4885AECA" w14:textId="77777777" w:rsidR="003E6351" w:rsidRPr="003E6351" w:rsidRDefault="003E6351" w:rsidP="003E6351">
            <w:pPr>
              <w:rPr>
                <w:rFonts w:asciiTheme="majorBidi" w:hAnsiTheme="majorBidi" w:cstheme="majorBidi"/>
                <w:sz w:val="20"/>
                <w:szCs w:val="20"/>
              </w:rPr>
            </w:pPr>
            <w:r w:rsidRPr="003E6351">
              <w:rPr>
                <w:rFonts w:asciiTheme="majorBidi" w:hAnsiTheme="majorBidi" w:cstheme="majorBidi"/>
                <w:sz w:val="20"/>
                <w:szCs w:val="20"/>
              </w:rPr>
              <w:t xml:space="preserve">АНГЛИЙСКИЙ РЕШАЕТ ! </w:t>
            </w:r>
          </w:p>
          <w:p w14:paraId="34A702F4" w14:textId="4B8F4B1B" w:rsidR="003E6351" w:rsidRPr="003E6351" w:rsidRDefault="003E6351" w:rsidP="003E6351">
            <w:pPr>
              <w:pStyle w:val="ac"/>
              <w:rPr>
                <w:rFonts w:asciiTheme="majorBidi" w:hAnsiTheme="majorBidi" w:cstheme="majorBidi"/>
                <w:sz w:val="20"/>
                <w:szCs w:val="20"/>
                <w:lang w:val="en-US"/>
              </w:rPr>
            </w:pPr>
            <w:r w:rsidRPr="003E6351">
              <w:rPr>
                <w:rFonts w:asciiTheme="majorBidi" w:hAnsiTheme="majorBidi" w:cstheme="majorBidi"/>
                <w:sz w:val="20"/>
                <w:szCs w:val="20"/>
              </w:rPr>
              <w:t>Английский язык кардинально изменил мою жизнь . Сейчас мне 28 лет , когда - то я жила с родителями в общежити и на Черной Речке в Санкт - Петербурге , а теперь перебралась в Сан - Франциско , на 33 - й этаж небоскреба с видом на океан Со мной происходило множество историй , которые никогда бы не случились , не влюбись я в англ и иски и язык и не выучи его . Потому что залогом успеха в любом деле являются лю бовь к нему и стремление полностью этому делу отдаваться Английским ( да и любым другим ) языком стоит заниматься когда ты понимаешь , что по - другому не хочешь жить . Потому что ты понимаешь , что , если ты хочешь развиваться , нужно читать литературу на английском , потому что ты знаешь , что твой любимый блогер выпускает видео на английском языке , в фильмах тебе нравится слышать реальные голоса актеров , а не дубляж , который лишает тебя половины шуток . Когда ты поймешь , что изучение иностранного языка - это не просто зубрежка , а образ жизни , что это очень мощный инструмент , с помощью которого можно достигать сума- сшедших высот , когда ты физически ощутишь , что он тебе необходим , -вот тогда и начнется настоящий прогресс . Цель этой книги - показать на собственном примере , как детская мечта может стать реальностью , как найти эффек- тивную мотивацию , чтобы не стоять на месте , развиваться , как знание иностранного языка может стать инструментом для зарабатывания денег , переезда , путешествий , личност ного роста . Показать на конкретных примерах и - самое главное - дать конкретные советы : как учить иностранным язык , как начинать свои бизнес , как переезжать за границу Я надеюсь , эта книга вдохновит вас на изучение иностран- ного языка и на достижение своих целей . Поэтому</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устраи</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вайтесь</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поудобнее</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rPr>
              <w:t>Погнали</w:t>
            </w:r>
            <w:r w:rsidRPr="003E6351">
              <w:rPr>
                <w:rFonts w:asciiTheme="majorBidi" w:hAnsiTheme="majorBidi" w:cstheme="majorBidi"/>
                <w:sz w:val="20"/>
                <w:szCs w:val="20"/>
                <w:lang w:val="en-US"/>
              </w:rPr>
              <w:t xml:space="preserve"> !</w:t>
            </w:r>
            <w:r w:rsidRPr="003E6351">
              <w:rPr>
                <w:rFonts w:asciiTheme="majorBidi" w:hAnsiTheme="majorBidi" w:cstheme="majorBidi"/>
                <w:sz w:val="20"/>
                <w:szCs w:val="20"/>
                <w:lang w:val="en-US"/>
              </w:rPr>
              <w:br/>
            </w:r>
          </w:p>
        </w:tc>
        <w:tc>
          <w:tcPr>
            <w:tcW w:w="2243" w:type="pct"/>
            <w:tcBorders>
              <w:right w:val="single" w:sz="4" w:space="0" w:color="000000"/>
            </w:tcBorders>
            <w:shd w:val="clear" w:color="auto" w:fill="FFFFFF"/>
          </w:tcPr>
          <w:p w14:paraId="18713E6C" w14:textId="77777777" w:rsidR="003E6351" w:rsidRPr="003E6351" w:rsidRDefault="003E6351" w:rsidP="003E6351">
            <w:pPr>
              <w:rPr>
                <w:rFonts w:asciiTheme="majorBidi" w:hAnsiTheme="majorBidi" w:cstheme="majorBidi"/>
                <w:sz w:val="20"/>
                <w:szCs w:val="20"/>
              </w:rPr>
            </w:pPr>
            <w:r w:rsidRPr="003E6351">
              <w:rPr>
                <w:rFonts w:asciiTheme="majorBidi" w:hAnsiTheme="majorBidi" w:cstheme="majorBidi"/>
                <w:sz w:val="20"/>
                <w:szCs w:val="20"/>
                <w:lang w:val="en-US"/>
              </w:rPr>
              <w:t xml:space="preserve">ENGLISH KICKS! </w:t>
            </w:r>
            <w:r w:rsidRPr="003E6351">
              <w:rPr>
                <w:rFonts w:asciiTheme="majorBidi" w:hAnsiTheme="majorBidi" w:cstheme="majorBidi"/>
                <w:sz w:val="20"/>
                <w:szCs w:val="20"/>
                <w:lang w:val="en-US"/>
              </w:rPr>
              <w:br/>
              <w:t xml:space="preserve">English has dramatically changed my life. Now I'm 28 years old, I used to live with my parents in the's residence hall on the Black River in St. Petersburg, and not a long time ago I moved to San Francisco, and now I live on the 33-rd floor of a skyscraper overlooking the ocean. A lot of stories happened to me since then.  If they didn’t happen, I would never fall in love with English. That’s why the key to success in any business is the love feeling and the desire to fully implement your efforts in the business.  </w:t>
            </w:r>
            <w:r w:rsidRPr="003E6351">
              <w:rPr>
                <w:rFonts w:asciiTheme="majorBidi" w:eastAsia="PMingLiU" w:hAnsiTheme="majorBidi" w:cstheme="majorBidi"/>
                <w:sz w:val="20"/>
                <w:szCs w:val="20"/>
                <w:lang w:val="en-US"/>
              </w:rPr>
              <w:br/>
            </w:r>
            <w:r w:rsidRPr="003E6351">
              <w:rPr>
                <w:rFonts w:asciiTheme="majorBidi" w:eastAsia="PMingLiU" w:hAnsiTheme="majorBidi" w:cstheme="majorBidi"/>
                <w:sz w:val="20"/>
                <w:szCs w:val="20"/>
                <w:lang w:val="en-US"/>
              </w:rPr>
              <w:br/>
            </w:r>
            <w:r w:rsidRPr="003E6351">
              <w:rPr>
                <w:rFonts w:asciiTheme="majorBidi" w:hAnsiTheme="majorBidi" w:cstheme="majorBidi"/>
                <w:sz w:val="20"/>
                <w:szCs w:val="20"/>
                <w:lang w:val="en-US"/>
              </w:rPr>
              <w:t xml:space="preserve">English (and any other) language is worth practising when you realize that you do not want to live otherwise. That’s why when you realize that you want to develop, you need to read English literature and you know that your favourite blogger is making the videos in English, and in the movies, you like to hear the real actors’ voices, but not the dubbing meanwhile losing half the jokes. </w:t>
            </w:r>
            <w:r w:rsidRPr="003E6351">
              <w:rPr>
                <w:rFonts w:asciiTheme="majorBidi" w:eastAsia="PMingLiU" w:hAnsiTheme="majorBidi" w:cstheme="majorBidi"/>
                <w:sz w:val="20"/>
                <w:szCs w:val="20"/>
                <w:lang w:val="en-US"/>
              </w:rPr>
              <w:br/>
            </w:r>
            <w:r w:rsidRPr="003E6351">
              <w:rPr>
                <w:rFonts w:asciiTheme="majorBidi" w:eastAsia="PMingLiU" w:hAnsiTheme="majorBidi" w:cstheme="majorBidi"/>
                <w:sz w:val="20"/>
                <w:szCs w:val="20"/>
                <w:lang w:val="en-US"/>
              </w:rPr>
              <w:br/>
            </w:r>
            <w:r w:rsidRPr="003E6351">
              <w:rPr>
                <w:rFonts w:asciiTheme="majorBidi" w:hAnsiTheme="majorBidi" w:cstheme="majorBidi"/>
                <w:sz w:val="20"/>
                <w:szCs w:val="20"/>
                <w:lang w:val="en-US"/>
              </w:rPr>
              <w:t xml:space="preserve">When you understand that learning a foreign language is not just cramming, but a lifestyle, a very powerful tool, using which you can reach the incredible successes and you physically feel that you need it, then it’s a real progress outset. </w:t>
            </w:r>
            <w:r w:rsidRPr="003E6351">
              <w:rPr>
                <w:rFonts w:asciiTheme="majorBidi" w:eastAsia="PMingLiU" w:hAnsiTheme="majorBidi" w:cstheme="majorBidi"/>
                <w:sz w:val="20"/>
                <w:szCs w:val="20"/>
                <w:lang w:val="en-US"/>
              </w:rPr>
              <w:br/>
            </w:r>
            <w:r w:rsidRPr="003E6351">
              <w:rPr>
                <w:rFonts w:asciiTheme="majorBidi" w:eastAsia="PMingLiU" w:hAnsiTheme="majorBidi" w:cstheme="majorBidi"/>
                <w:sz w:val="20"/>
                <w:szCs w:val="20"/>
                <w:lang w:val="en-US"/>
              </w:rPr>
              <w:br/>
            </w:r>
            <w:r w:rsidRPr="003E6351">
              <w:rPr>
                <w:rFonts w:asciiTheme="majorBidi" w:hAnsiTheme="majorBidi" w:cstheme="majorBidi"/>
                <w:sz w:val="20"/>
                <w:szCs w:val="20"/>
                <w:lang w:val="en-US"/>
              </w:rPr>
              <w:t xml:space="preserve">The purpose of this book is to show how a child's dream can become a reality, how to find effective motivation, not to be at a stop, but develop, how knowledge of a foreign language can become a raising money, travelling, personal advancement tool, likewise, proving it on the specific examples, but, the most important, is to give precise pieces of advice on how to learn a foreign language, how to start a business and how to settle abroad. </w:t>
            </w:r>
            <w:r w:rsidRPr="003E6351">
              <w:rPr>
                <w:rFonts w:asciiTheme="majorBidi" w:hAnsiTheme="majorBidi" w:cstheme="majorBidi"/>
                <w:sz w:val="20"/>
                <w:szCs w:val="20"/>
                <w:lang w:val="en-US"/>
              </w:rPr>
              <w:br/>
            </w:r>
            <w:r w:rsidRPr="003E6351">
              <w:rPr>
                <w:rFonts w:asciiTheme="majorBidi" w:hAnsiTheme="majorBidi" w:cstheme="majorBidi"/>
                <w:sz w:val="20"/>
                <w:szCs w:val="20"/>
                <w:lang w:val="en-US"/>
              </w:rPr>
              <w:br/>
              <w:t xml:space="preserve">I hope this book will inspire you to study a foreign language and achieve your goals. </w:t>
            </w:r>
            <w:r w:rsidRPr="003E6351">
              <w:rPr>
                <w:rFonts w:asciiTheme="majorBidi" w:hAnsiTheme="majorBidi" w:cstheme="majorBidi"/>
                <w:sz w:val="20"/>
                <w:szCs w:val="20"/>
              </w:rPr>
              <w:t>So, let’s roll!</w:t>
            </w:r>
          </w:p>
          <w:p w14:paraId="4B746E67" w14:textId="77777777" w:rsidR="003E6351" w:rsidRPr="003E6351" w:rsidRDefault="003E6351" w:rsidP="003E6351">
            <w:pPr>
              <w:rPr>
                <w:rFonts w:asciiTheme="majorBidi" w:hAnsiTheme="majorBidi" w:cstheme="majorBidi"/>
                <w:sz w:val="20"/>
                <w:szCs w:val="20"/>
              </w:rPr>
            </w:pPr>
          </w:p>
          <w:p w14:paraId="06290F47" w14:textId="77777777" w:rsidR="003E6351" w:rsidRPr="003E6351" w:rsidRDefault="003E6351" w:rsidP="006A7127">
            <w:pPr>
              <w:pStyle w:val="ac"/>
              <w:rPr>
                <w:rFonts w:asciiTheme="majorBidi" w:hAnsiTheme="majorBidi" w:cstheme="majorBidi"/>
                <w:sz w:val="20"/>
                <w:szCs w:val="20"/>
                <w:lang w:val="en-US"/>
              </w:rPr>
            </w:pPr>
          </w:p>
        </w:tc>
      </w:tr>
      <w:tr w:rsidR="00805786" w:rsidRPr="00805786" w14:paraId="712D07CC" w14:textId="77777777" w:rsidTr="00805786">
        <w:trPr>
          <w:trHeight w:val="9727"/>
        </w:trPr>
        <w:tc>
          <w:tcPr>
            <w:tcW w:w="206" w:type="pct"/>
            <w:tcBorders>
              <w:right w:val="single" w:sz="4" w:space="0" w:color="000000"/>
            </w:tcBorders>
            <w:shd w:val="clear" w:color="auto" w:fill="D3D3D3"/>
          </w:tcPr>
          <w:p w14:paraId="20F8EE1E" w14:textId="77777777" w:rsidR="00805786" w:rsidRPr="003E6351" w:rsidRDefault="00805786" w:rsidP="00717BEE">
            <w:pPr>
              <w:rPr>
                <w:rFonts w:asciiTheme="majorBidi" w:eastAsia="Arial Unicode MS" w:hAnsiTheme="majorBidi" w:cstheme="majorBidi"/>
                <w:sz w:val="20"/>
                <w:szCs w:val="20"/>
                <w:lang w:val="uk-UA"/>
              </w:rPr>
            </w:pPr>
          </w:p>
        </w:tc>
        <w:tc>
          <w:tcPr>
            <w:tcW w:w="2551" w:type="pct"/>
            <w:tcBorders>
              <w:left w:val="single" w:sz="4" w:space="0" w:color="000000"/>
            </w:tcBorders>
            <w:shd w:val="clear" w:color="auto" w:fill="FFFFFF"/>
          </w:tcPr>
          <w:p w14:paraId="6CB7DBD1" w14:textId="77777777" w:rsidR="00805786" w:rsidRDefault="00805786" w:rsidP="00805786">
            <w:pPr>
              <w:pStyle w:val="p1"/>
            </w:pPr>
            <w:r>
              <w:rPr>
                <w:rStyle w:val="s1"/>
              </w:rPr>
              <w:t>Європейський парламент це законодавчий орган Європейського Союзу, що обирається прямим голосуванням громадянами Європейського Союзу. Спільно з Радою Європейського Союзу і Європейською Комісією, парламент виконує законодавчі функції в ЄС і вважається одним з найбільш потужних законодавчих органів в світі. Нині парламент складається з 750 членів і 1 головуючого, які представляють найбільш міжнаціональний демократичний електорат в світі (500 мільйонів виборців у 2013р).</w:t>
            </w:r>
          </w:p>
          <w:p w14:paraId="6478D031" w14:textId="77777777" w:rsidR="00805786" w:rsidRDefault="00805786" w:rsidP="00805786">
            <w:pPr>
              <w:pStyle w:val="p2"/>
            </w:pPr>
          </w:p>
          <w:p w14:paraId="09D7DDF7" w14:textId="77777777" w:rsidR="00805786" w:rsidRDefault="00805786" w:rsidP="00805786">
            <w:pPr>
              <w:pStyle w:val="p1"/>
            </w:pPr>
            <w:r>
              <w:rPr>
                <w:rStyle w:val="s1"/>
              </w:rPr>
              <w:t>Починаючи з 1979-го року вибори проводяться кожні 5 років. </w:t>
            </w:r>
          </w:p>
          <w:p w14:paraId="396B115E" w14:textId="77777777" w:rsidR="00805786" w:rsidRDefault="00805786" w:rsidP="00805786">
            <w:pPr>
              <w:pStyle w:val="p2"/>
            </w:pPr>
          </w:p>
          <w:p w14:paraId="5B86054F" w14:textId="77777777" w:rsidR="00805786" w:rsidRDefault="00805786" w:rsidP="00805786">
            <w:pPr>
              <w:pStyle w:val="p1"/>
            </w:pPr>
            <w:r>
              <w:rPr>
                <w:rStyle w:val="s1"/>
              </w:rPr>
              <w:t>Хоча парламент володіє такою законодавчою владою, яка Рада і Комісія не має, він формально не володіє законодавчою ініціативою, на кшталт більшості національних парламентів. Парламент це «перша інституція» ЄС (першим згадується в договорах), і розділяє законодавчі та бюджетні повноваження з Радою ( за винятком деяких випадків, коли застосовуються спеціальні законодавчі процедури). Він також розділяє контроль над бюджетом. Зрештою, Європейська Комісія, виконавчий орган ЄС, підзвітний парламенту.  Зокрема, парламент обирає голову Комісії та затверджує чи відкидає призначення комісії в цілому. Також парламент, прийнявши резолюцію, може змусити Комісію піти в відставку. </w:t>
            </w:r>
          </w:p>
          <w:p w14:paraId="08D3ACCC" w14:textId="77777777" w:rsidR="00805786" w:rsidRPr="003E6351" w:rsidRDefault="00805786" w:rsidP="003E6351">
            <w:pPr>
              <w:rPr>
                <w:rFonts w:asciiTheme="majorBidi" w:hAnsiTheme="majorBidi" w:cstheme="majorBidi"/>
                <w:sz w:val="20"/>
                <w:szCs w:val="20"/>
              </w:rPr>
            </w:pPr>
          </w:p>
        </w:tc>
        <w:tc>
          <w:tcPr>
            <w:tcW w:w="2243" w:type="pct"/>
            <w:tcBorders>
              <w:right w:val="single" w:sz="4" w:space="0" w:color="000000"/>
            </w:tcBorders>
            <w:shd w:val="clear" w:color="auto" w:fill="FFFFFF"/>
          </w:tcPr>
          <w:p w14:paraId="6F412667" w14:textId="77777777" w:rsidR="00805786" w:rsidRPr="00805786" w:rsidRDefault="00805786" w:rsidP="00805786">
            <w:pPr>
              <w:pStyle w:val="p1"/>
              <w:rPr>
                <w:lang w:val="en-US"/>
              </w:rPr>
            </w:pPr>
            <w:r w:rsidRPr="00805786">
              <w:rPr>
                <w:rStyle w:val="s1"/>
                <w:lang w:val="en-US"/>
              </w:rPr>
              <w:t>The European Parliament is the only parliamentary institution of the European Union that is directly elected by EU citizens. Together with the Council of the European Union and the European Commission, the European Parliament exercises the legislative functions of the EU and is considered to be one of the most powerful legislative authorities in the world. Nowadays, the Parliament is composed of 750 members and 1 president, who represent the largest international democratic electorate in the world (500 million eligible voters in 2013).</w:t>
            </w:r>
          </w:p>
          <w:p w14:paraId="316B2079" w14:textId="77777777" w:rsidR="00805786" w:rsidRPr="00805786" w:rsidRDefault="00805786" w:rsidP="00805786">
            <w:pPr>
              <w:pStyle w:val="p2"/>
              <w:rPr>
                <w:lang w:val="en-US"/>
              </w:rPr>
            </w:pPr>
          </w:p>
          <w:p w14:paraId="75C9A0E3" w14:textId="77777777" w:rsidR="00805786" w:rsidRPr="00805786" w:rsidRDefault="00805786" w:rsidP="00805786">
            <w:pPr>
              <w:pStyle w:val="p1"/>
              <w:rPr>
                <w:lang w:val="en-US"/>
              </w:rPr>
            </w:pPr>
            <w:r w:rsidRPr="00805786">
              <w:rPr>
                <w:rStyle w:val="s1"/>
                <w:lang w:val="en-US"/>
              </w:rPr>
              <w:t>Since 1979,</w:t>
            </w:r>
            <w:bookmarkStart w:id="6" w:name="_GoBack"/>
            <w:bookmarkEnd w:id="6"/>
            <w:r w:rsidRPr="00805786">
              <w:rPr>
                <w:rStyle w:val="s1"/>
                <w:lang w:val="en-US"/>
              </w:rPr>
              <w:t xml:space="preserve"> elections have been held every five years. </w:t>
            </w:r>
          </w:p>
          <w:p w14:paraId="532E29FC" w14:textId="77777777" w:rsidR="00805786" w:rsidRPr="00805786" w:rsidRDefault="00805786" w:rsidP="00805786">
            <w:pPr>
              <w:pStyle w:val="p2"/>
              <w:rPr>
                <w:lang w:val="en-US"/>
              </w:rPr>
            </w:pPr>
          </w:p>
          <w:p w14:paraId="2D0D9CC3" w14:textId="77777777" w:rsidR="00805786" w:rsidRPr="00805786" w:rsidRDefault="00805786" w:rsidP="00805786">
            <w:pPr>
              <w:pStyle w:val="p1"/>
              <w:rPr>
                <w:lang w:val="en-US"/>
              </w:rPr>
            </w:pPr>
            <w:r w:rsidRPr="00805786">
              <w:rPr>
                <w:rStyle w:val="s1"/>
                <w:lang w:val="en-US"/>
              </w:rPr>
              <w:t>Although the European Parliament has legislative power, which the Council not, it does not formally possess legislative initiative, as most national parliaments do. The Parliament is the "first institution" of the EU (mentioned first in the treaties) and shares legislative and budgetary powers with the Council (except in a few areas where the special legislative procedures apply). It likewise has equal control over the budget. Finally, the European Commission is the executive body accountable to the Parliament.  In particular, the Parliament elects the President of the Commission and approves or rejects the appointment of the Commission as a whole.  Likewise, the Parliament, accepting a resolution, can force the Commission to resign. </w:t>
            </w:r>
          </w:p>
          <w:p w14:paraId="3B98D4EB" w14:textId="77777777" w:rsidR="00805786" w:rsidRPr="00805786" w:rsidRDefault="00805786" w:rsidP="003E6351">
            <w:pPr>
              <w:rPr>
                <w:rFonts w:asciiTheme="majorBidi" w:hAnsiTheme="majorBidi" w:cstheme="majorBidi"/>
                <w:sz w:val="20"/>
                <w:szCs w:val="20"/>
                <w:lang w:val="en-US"/>
              </w:rPr>
            </w:pPr>
          </w:p>
        </w:tc>
      </w:tr>
    </w:tbl>
    <w:p w14:paraId="1E9E630E" w14:textId="77777777" w:rsidR="00A77B3E" w:rsidRPr="003E6351" w:rsidRDefault="00CA6D57" w:rsidP="00717BEE">
      <w:pPr>
        <w:rPr>
          <w:rFonts w:asciiTheme="majorBidi" w:eastAsia="Arial Unicode MS" w:hAnsiTheme="majorBidi" w:cstheme="majorBidi"/>
          <w:sz w:val="20"/>
          <w:szCs w:val="20"/>
          <w:lang w:val="uk-UA"/>
        </w:rPr>
      </w:pPr>
    </w:p>
    <w:sectPr w:rsidR="00A77B3E" w:rsidRPr="003E6351" w:rsidSect="00950A4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3443C" w14:textId="77777777" w:rsidR="00CA6D57" w:rsidRDefault="00CA6D57">
      <w:r>
        <w:separator/>
      </w:r>
    </w:p>
  </w:endnote>
  <w:endnote w:type="continuationSeparator" w:id="0">
    <w:p w14:paraId="7B3B18EE" w14:textId="77777777" w:rsidR="00CA6D57" w:rsidRDefault="00CA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708D3" w14:textId="77777777" w:rsidR="00CA6D57" w:rsidRDefault="00CA6D57">
      <w:r>
        <w:separator/>
      </w:r>
    </w:p>
  </w:footnote>
  <w:footnote w:type="continuationSeparator" w:id="0">
    <w:p w14:paraId="6BF38E75" w14:textId="77777777" w:rsidR="00CA6D57" w:rsidRDefault="00CA6D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E2DCA"/>
    <w:multiLevelType w:val="multilevel"/>
    <w:tmpl w:val="C9C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AF778D"/>
    <w:multiLevelType w:val="multilevel"/>
    <w:tmpl w:val="6E6A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99"/>
    <w:rsid w:val="00061C24"/>
    <w:rsid w:val="000A2789"/>
    <w:rsid w:val="000C34FB"/>
    <w:rsid w:val="000F3649"/>
    <w:rsid w:val="000F7628"/>
    <w:rsid w:val="00102D41"/>
    <w:rsid w:val="001617FB"/>
    <w:rsid w:val="003E6351"/>
    <w:rsid w:val="004504C3"/>
    <w:rsid w:val="004A0172"/>
    <w:rsid w:val="00590C19"/>
    <w:rsid w:val="0063542A"/>
    <w:rsid w:val="00637B2C"/>
    <w:rsid w:val="006A7127"/>
    <w:rsid w:val="00717BEE"/>
    <w:rsid w:val="007C3186"/>
    <w:rsid w:val="00805786"/>
    <w:rsid w:val="00811299"/>
    <w:rsid w:val="008D2AE5"/>
    <w:rsid w:val="00950A40"/>
    <w:rsid w:val="00B04C60"/>
    <w:rsid w:val="00BA6DBD"/>
    <w:rsid w:val="00BD59FC"/>
    <w:rsid w:val="00CA6D57"/>
    <w:rsid w:val="00CD6CB6"/>
    <w:rsid w:val="00D724F4"/>
    <w:rsid w:val="00D8383B"/>
    <w:rsid w:val="00D96EC4"/>
    <w:rsid w:val="00E447DE"/>
    <w:rsid w:val="00E61E4A"/>
  </w:rsids>
  <m:mathPr>
    <m:mathFont m:val="Cambria Math"/>
    <m:brkBin m:val="before"/>
    <m:brkBinSub m:val="--"/>
    <m:smallFrac m:val="0"/>
    <m:dispDef/>
    <m:lMargin m:val="0"/>
    <m:rMargin m:val="0"/>
    <m:defJc m:val="centerGroup"/>
    <m:wrapIndent m:val="1440"/>
    <m:intLim m:val="subSup"/>
    <m:naryLim m:val="undOvr"/>
  </m:mathPr>
  <w:themeFontLang w:val="ru-RU" w:eastAsia="x-non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3E9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0F3649"/>
    <w:pPr>
      <w:tabs>
        <w:tab w:val="center" w:pos="4677"/>
        <w:tab w:val="right" w:pos="9355"/>
      </w:tabs>
    </w:pPr>
  </w:style>
  <w:style w:type="character" w:customStyle="1" w:styleId="a4">
    <w:name w:val="Нижний колонтитул Знак"/>
    <w:basedOn w:val="a0"/>
    <w:link w:val="a3"/>
    <w:rsid w:val="000F3649"/>
    <w:rPr>
      <w:sz w:val="24"/>
      <w:szCs w:val="24"/>
    </w:rPr>
  </w:style>
  <w:style w:type="paragraph" w:styleId="a5">
    <w:name w:val="header"/>
    <w:basedOn w:val="a"/>
    <w:link w:val="a6"/>
    <w:unhideWhenUsed/>
    <w:rsid w:val="000F3649"/>
    <w:pPr>
      <w:tabs>
        <w:tab w:val="center" w:pos="4677"/>
        <w:tab w:val="right" w:pos="9355"/>
      </w:tabs>
    </w:pPr>
  </w:style>
  <w:style w:type="character" w:customStyle="1" w:styleId="a6">
    <w:name w:val="Верхний колонтитул Знак"/>
    <w:basedOn w:val="a0"/>
    <w:link w:val="a5"/>
    <w:rsid w:val="000F3649"/>
    <w:rPr>
      <w:sz w:val="24"/>
      <w:szCs w:val="24"/>
    </w:rPr>
  </w:style>
  <w:style w:type="character" w:styleId="a7">
    <w:name w:val="Hyperlink"/>
    <w:basedOn w:val="a0"/>
    <w:uiPriority w:val="99"/>
    <w:unhideWhenUsed/>
    <w:rsid w:val="000A2789"/>
    <w:rPr>
      <w:color w:val="0563C1" w:themeColor="hyperlink"/>
      <w:u w:val="single"/>
    </w:rPr>
  </w:style>
  <w:style w:type="paragraph" w:styleId="a8">
    <w:name w:val="Normal (Web)"/>
    <w:basedOn w:val="a"/>
    <w:uiPriority w:val="99"/>
    <w:unhideWhenUsed/>
    <w:rsid w:val="000A2789"/>
    <w:pPr>
      <w:spacing w:before="100" w:beforeAutospacing="1" w:after="100" w:afterAutospacing="1"/>
    </w:pPr>
  </w:style>
  <w:style w:type="paragraph" w:styleId="a9">
    <w:name w:val="Body Text"/>
    <w:basedOn w:val="a"/>
    <w:link w:val="aa"/>
    <w:uiPriority w:val="1"/>
    <w:qFormat/>
    <w:rsid w:val="00590C19"/>
    <w:pPr>
      <w:widowControl w:val="0"/>
      <w:autoSpaceDE w:val="0"/>
      <w:autoSpaceDN w:val="0"/>
      <w:adjustRightInd w:val="0"/>
      <w:ind w:left="137"/>
    </w:pPr>
    <w:rPr>
      <w:sz w:val="14"/>
      <w:szCs w:val="14"/>
    </w:rPr>
  </w:style>
  <w:style w:type="character" w:customStyle="1" w:styleId="aa">
    <w:name w:val="Основной текст Знак"/>
    <w:basedOn w:val="a0"/>
    <w:link w:val="a9"/>
    <w:uiPriority w:val="1"/>
    <w:rsid w:val="00590C19"/>
    <w:rPr>
      <w:sz w:val="14"/>
      <w:szCs w:val="14"/>
    </w:rPr>
  </w:style>
  <w:style w:type="paragraph" w:customStyle="1" w:styleId="ab">
    <w:name w:val="Заголовок"/>
    <w:next w:val="ac"/>
    <w:rsid w:val="00D724F4"/>
    <w:pPr>
      <w:keepNext/>
      <w:pBdr>
        <w:top w:val="nil"/>
        <w:left w:val="nil"/>
        <w:bottom w:val="nil"/>
        <w:right w:val="nil"/>
        <w:between w:val="nil"/>
        <w:bar w:val="nil"/>
      </w:pBdr>
    </w:pPr>
    <w:rPr>
      <w:rFonts w:ascii="Helvetica" w:eastAsia="Arial Unicode MS" w:hAnsi="Helvetica" w:cs="Arial Unicode MS"/>
      <w:b/>
      <w:bCs/>
      <w:color w:val="000000"/>
      <w:sz w:val="60"/>
      <w:szCs w:val="60"/>
      <w:bdr w:val="nil"/>
    </w:rPr>
  </w:style>
  <w:style w:type="paragraph" w:customStyle="1" w:styleId="ac">
    <w:name w:val="Текстовый блок"/>
    <w:rsid w:val="00D724F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ad">
    <w:name w:val="Title"/>
    <w:basedOn w:val="a"/>
    <w:next w:val="a"/>
    <w:link w:val="ae"/>
    <w:qFormat/>
    <w:rsid w:val="00D724F4"/>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rsid w:val="00D724F4"/>
    <w:rPr>
      <w:rFonts w:asciiTheme="majorHAnsi" w:eastAsiaTheme="majorEastAsia" w:hAnsiTheme="majorHAnsi" w:cstheme="majorBidi"/>
      <w:spacing w:val="-10"/>
      <w:kern w:val="28"/>
      <w:sz w:val="56"/>
      <w:szCs w:val="56"/>
    </w:rPr>
  </w:style>
  <w:style w:type="paragraph" w:customStyle="1" w:styleId="p1">
    <w:name w:val="p1"/>
    <w:basedOn w:val="a"/>
    <w:rsid w:val="00805786"/>
    <w:pPr>
      <w:spacing w:line="240" w:lineRule="atLeast"/>
    </w:pPr>
    <w:rPr>
      <w:rFonts w:ascii="Helvetica Neue" w:hAnsi="Helvetica Neue"/>
      <w:sz w:val="18"/>
      <w:szCs w:val="18"/>
    </w:rPr>
  </w:style>
  <w:style w:type="paragraph" w:customStyle="1" w:styleId="p2">
    <w:name w:val="p2"/>
    <w:basedOn w:val="a"/>
    <w:rsid w:val="00805786"/>
    <w:pPr>
      <w:spacing w:line="240" w:lineRule="atLeast"/>
    </w:pPr>
    <w:rPr>
      <w:rFonts w:ascii="Helvetica Neue" w:hAnsi="Helvetica Neue"/>
      <w:sz w:val="18"/>
      <w:szCs w:val="18"/>
    </w:rPr>
  </w:style>
  <w:style w:type="character" w:customStyle="1" w:styleId="s1">
    <w:name w:val="s1"/>
    <w:basedOn w:val="a0"/>
    <w:rsid w:val="0080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5137">
      <w:bodyDiv w:val="1"/>
      <w:marLeft w:val="0"/>
      <w:marRight w:val="0"/>
      <w:marTop w:val="0"/>
      <w:marBottom w:val="0"/>
      <w:divBdr>
        <w:top w:val="none" w:sz="0" w:space="0" w:color="auto"/>
        <w:left w:val="none" w:sz="0" w:space="0" w:color="auto"/>
        <w:bottom w:val="none" w:sz="0" w:space="0" w:color="auto"/>
        <w:right w:val="none" w:sz="0" w:space="0" w:color="auto"/>
      </w:divBdr>
    </w:div>
    <w:div w:id="571085056">
      <w:bodyDiv w:val="1"/>
      <w:marLeft w:val="0"/>
      <w:marRight w:val="0"/>
      <w:marTop w:val="0"/>
      <w:marBottom w:val="0"/>
      <w:divBdr>
        <w:top w:val="none" w:sz="0" w:space="0" w:color="auto"/>
        <w:left w:val="none" w:sz="0" w:space="0" w:color="auto"/>
        <w:bottom w:val="none" w:sz="0" w:space="0" w:color="auto"/>
        <w:right w:val="none" w:sz="0" w:space="0" w:color="auto"/>
      </w:divBdr>
    </w:div>
    <w:div w:id="1143692965">
      <w:bodyDiv w:val="1"/>
      <w:marLeft w:val="0"/>
      <w:marRight w:val="0"/>
      <w:marTop w:val="0"/>
      <w:marBottom w:val="0"/>
      <w:divBdr>
        <w:top w:val="none" w:sz="0" w:space="0" w:color="auto"/>
        <w:left w:val="none" w:sz="0" w:space="0" w:color="auto"/>
        <w:bottom w:val="none" w:sz="0" w:space="0" w:color="auto"/>
        <w:right w:val="none" w:sz="0" w:space="0" w:color="auto"/>
      </w:divBdr>
    </w:div>
    <w:div w:id="1760447438">
      <w:bodyDiv w:val="1"/>
      <w:marLeft w:val="0"/>
      <w:marRight w:val="0"/>
      <w:marTop w:val="0"/>
      <w:marBottom w:val="0"/>
      <w:divBdr>
        <w:top w:val="none" w:sz="0" w:space="0" w:color="auto"/>
        <w:left w:val="none" w:sz="0" w:space="0" w:color="auto"/>
        <w:bottom w:val="none" w:sz="0" w:space="0" w:color="auto"/>
        <w:right w:val="none" w:sz="0" w:space="0" w:color="auto"/>
      </w:divBdr>
    </w:div>
    <w:div w:id="18915007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ebmedinfo.ru/gipertroficheskaya-kardiomiopatiya.html" TargetMode="External"/><Relationship Id="rId9" Type="http://schemas.openxmlformats.org/officeDocument/2006/relationships/hyperlink" Target="http://www.webmedinfo.ru/menopauzalnyy-metabolicheskiy-sindrom.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D90F5F-95F8-374F-816E-3F621BA9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5768</Words>
  <Characters>32884</Characters>
  <Application>Microsoft Macintosh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 Petrov</cp:lastModifiedBy>
  <cp:revision>5</cp:revision>
  <dcterms:created xsi:type="dcterms:W3CDTF">2019-05-08T16:31:00Z</dcterms:created>
  <dcterms:modified xsi:type="dcterms:W3CDTF">2019-05-15T17:30:00Z</dcterms:modified>
</cp:coreProperties>
</file>