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0C1402" w:rsidTr="00F21F2F">
        <w:trPr>
          <w:trHeight w:val="416"/>
        </w:trPr>
        <w:tc>
          <w:tcPr>
            <w:tcW w:w="9571" w:type="dxa"/>
            <w:gridSpan w:val="2"/>
          </w:tcPr>
          <w:p w:rsidR="000C1402" w:rsidRPr="00C466BE" w:rsidRDefault="00C466BE" w:rsidP="000C1402">
            <w:pPr>
              <w:pStyle w:val="d1eee4e5f0e6e8eceee5f2e0e1ebe8f6fb"/>
              <w:jc w:val="center"/>
              <w:rPr>
                <w:rFonts w:asciiTheme="minorHAnsi" w:hAnsiTheme="minorHAnsi" w:cstheme="minorHAnsi"/>
                <w:b/>
                <w:lang w:val="en-US"/>
              </w:rPr>
            </w:pPr>
            <w:r>
              <w:rPr>
                <w:rFonts w:ascii="Calibri"/>
                <w:b/>
                <w:lang w:val="en-US"/>
              </w:rPr>
              <w:t xml:space="preserve">Website translation (company history) </w:t>
            </w:r>
          </w:p>
        </w:tc>
      </w:tr>
      <w:tr w:rsidR="009C36AA" w:rsidTr="009C36AA">
        <w:tc>
          <w:tcPr>
            <w:tcW w:w="4785" w:type="dxa"/>
          </w:tcPr>
          <w:p w:rsidR="009C36AA" w:rsidRPr="009C36AA" w:rsidRDefault="009C36AA" w:rsidP="00AB19D9">
            <w:pPr>
              <w:spacing w:before="280" w:after="280"/>
              <w:rPr>
                <w:sz w:val="24"/>
                <w:szCs w:val="24"/>
                <w:lang w:val="en-US"/>
              </w:rPr>
            </w:pPr>
            <w:r w:rsidRPr="009C36AA">
              <w:rPr>
                <w:rFonts w:ascii="Calibri"/>
                <w:b/>
                <w:sz w:val="24"/>
                <w:szCs w:val="24"/>
                <w:lang w:val="en-US"/>
              </w:rPr>
              <w:t>Target group</w:t>
            </w:r>
          </w:p>
          <w:p w:rsidR="009C36AA" w:rsidRPr="007C40F6" w:rsidRDefault="009C36AA" w:rsidP="00AB19D9">
            <w:pPr>
              <w:spacing w:before="280" w:after="280"/>
              <w:rPr>
                <w:rFonts w:ascii="Calibri"/>
                <w:b/>
                <w:sz w:val="24"/>
                <w:szCs w:val="24"/>
                <w:lang w:val="en-US"/>
              </w:rPr>
            </w:pPr>
            <w:r w:rsidRPr="009C36AA">
              <w:rPr>
                <w:rFonts w:ascii="Calibri"/>
                <w:b/>
                <w:sz w:val="24"/>
                <w:szCs w:val="24"/>
                <w:lang w:val="en-US"/>
              </w:rPr>
              <w:t xml:space="preserve">The </w:t>
            </w:r>
            <w:r w:rsidRPr="009C36AA">
              <w:rPr>
                <w:rFonts w:ascii="Calibri"/>
                <w:b/>
                <w:sz w:val="24"/>
                <w:szCs w:val="24"/>
                <w:highlight w:val="black"/>
                <w:lang w:val="en-US"/>
              </w:rPr>
              <w:t>Yamasá Cigars</w:t>
            </w:r>
            <w:r w:rsidRPr="009C36AA">
              <w:rPr>
                <w:rFonts w:ascii="Calibri"/>
                <w:b/>
                <w:sz w:val="24"/>
                <w:szCs w:val="24"/>
                <w:lang w:val="en-US"/>
              </w:rPr>
              <w:t xml:space="preserve"> are ideal for:</w:t>
            </w:r>
          </w:p>
          <w:p w:rsidR="009C36AA" w:rsidRPr="009C36AA" w:rsidRDefault="00087921" w:rsidP="009C36AA">
            <w:pPr>
              <w:rPr>
                <w:sz w:val="24"/>
                <w:szCs w:val="24"/>
                <w:lang w:val="en-US"/>
              </w:rPr>
            </w:pPr>
            <w:hyperlink r:id="rId5" w:anchor="pa_57a867582b92d_hotspot_modal_1" w:history="1">
              <w:r w:rsidR="009C36AA" w:rsidRPr="007C40F6">
                <w:rPr>
                  <w:rFonts w:ascii="Calibri"/>
                  <w:sz w:val="24"/>
                  <w:szCs w:val="24"/>
                  <w:u w:val="single"/>
                  <w:lang w:val="en-US"/>
                </w:rPr>
                <w:t xml:space="preserve">The Adventurous </w:t>
              </w:r>
            </w:hyperlink>
          </w:p>
          <w:p w:rsidR="009C36AA" w:rsidRPr="007C40F6" w:rsidRDefault="009C36AA" w:rsidP="009C36AA">
            <w:pPr>
              <w:spacing w:before="280" w:after="280"/>
              <w:rPr>
                <w:rFonts w:ascii="Calibri"/>
                <w:sz w:val="24"/>
                <w:szCs w:val="24"/>
                <w:lang w:val="en-US"/>
              </w:rPr>
            </w:pPr>
            <w:r w:rsidRPr="009C36AA">
              <w:rPr>
                <w:rFonts w:ascii="Calibri"/>
                <w:sz w:val="24"/>
                <w:szCs w:val="24"/>
                <w:lang w:val="en-US"/>
              </w:rPr>
              <w:t>Adventurous are open minded people, who are ready to discover new taste adventures and smokes which they have never tried before.</w:t>
            </w:r>
          </w:p>
          <w:p w:rsidR="009C36AA" w:rsidRPr="007C40F6" w:rsidRDefault="009C36AA" w:rsidP="009C36AA">
            <w:pPr>
              <w:rPr>
                <w:sz w:val="24"/>
                <w:szCs w:val="24"/>
                <w:lang w:val="en-US"/>
              </w:rPr>
            </w:pPr>
          </w:p>
          <w:p w:rsidR="009C36AA" w:rsidRPr="009C36AA" w:rsidRDefault="00087921" w:rsidP="009C36AA">
            <w:pPr>
              <w:rPr>
                <w:sz w:val="24"/>
                <w:szCs w:val="24"/>
                <w:lang w:val="en-US"/>
              </w:rPr>
            </w:pPr>
            <w:hyperlink r:id="rId6" w:anchor="pa_57a867582b92d_hotspot_modal_2" w:history="1">
              <w:r w:rsidR="009C36AA" w:rsidRPr="007C40F6">
                <w:rPr>
                  <w:rFonts w:ascii="Calibri"/>
                  <w:sz w:val="24"/>
                  <w:szCs w:val="24"/>
                  <w:u w:val="single"/>
                  <w:lang w:val="en-US"/>
                </w:rPr>
                <w:t xml:space="preserve">The Cuban </w:t>
              </w:r>
            </w:hyperlink>
          </w:p>
          <w:p w:rsidR="009C36AA" w:rsidRPr="007C40F6" w:rsidRDefault="009C36AA" w:rsidP="009C36AA">
            <w:pPr>
              <w:spacing w:before="280" w:after="280"/>
              <w:rPr>
                <w:rFonts w:ascii="Calibri"/>
                <w:sz w:val="24"/>
                <w:szCs w:val="24"/>
                <w:lang w:val="en-US"/>
              </w:rPr>
            </w:pPr>
            <w:r w:rsidRPr="009C36AA">
              <w:rPr>
                <w:rFonts w:ascii="Calibri"/>
                <w:sz w:val="24"/>
                <w:szCs w:val="24"/>
                <w:lang w:val="en-US"/>
              </w:rPr>
              <w:t xml:space="preserve">He is an aficionado, who likes the intensity of Cuban cigars and will appreciate </w:t>
            </w:r>
            <w:r w:rsidRPr="009C36AA">
              <w:rPr>
                <w:rFonts w:ascii="Calibri"/>
                <w:sz w:val="24"/>
                <w:szCs w:val="24"/>
                <w:highlight w:val="black"/>
                <w:lang w:val="en-US"/>
              </w:rPr>
              <w:t>Davidoff Yamasá’s</w:t>
            </w:r>
            <w:r w:rsidRPr="009C36AA">
              <w:rPr>
                <w:rFonts w:ascii="Calibri"/>
                <w:sz w:val="24"/>
                <w:szCs w:val="24"/>
                <w:lang w:val="en-US"/>
              </w:rPr>
              <w:t xml:space="preserve"> impactful aroma &amp; taste spectrum.</w:t>
            </w:r>
          </w:p>
          <w:p w:rsidR="009C36AA" w:rsidRPr="009C36AA" w:rsidRDefault="00087921" w:rsidP="009C36AA">
            <w:pPr>
              <w:rPr>
                <w:sz w:val="24"/>
                <w:szCs w:val="24"/>
                <w:lang w:val="en-US"/>
              </w:rPr>
            </w:pPr>
            <w:hyperlink r:id="rId7" w:anchor="pa_57a867582b92d_hotspot_modal_3" w:history="1">
              <w:r w:rsidR="009C36AA" w:rsidRPr="007C40F6">
                <w:rPr>
                  <w:rFonts w:ascii="Calibri"/>
                  <w:sz w:val="24"/>
                  <w:szCs w:val="24"/>
                  <w:u w:val="single"/>
                  <w:lang w:val="en-US"/>
                </w:rPr>
                <w:t xml:space="preserve">The Self-Made Man </w:t>
              </w:r>
            </w:hyperlink>
          </w:p>
          <w:p w:rsidR="009C36AA" w:rsidRPr="009C36AA" w:rsidRDefault="009C36AA" w:rsidP="009C36AA">
            <w:pPr>
              <w:spacing w:before="280" w:after="280"/>
              <w:rPr>
                <w:lang w:val="en-US"/>
              </w:rPr>
            </w:pPr>
            <w:r w:rsidRPr="009C36AA">
              <w:rPr>
                <w:rFonts w:ascii="Calibri"/>
                <w:sz w:val="24"/>
                <w:szCs w:val="24"/>
                <w:lang w:val="en-US"/>
              </w:rPr>
              <w:t>Successful, confident &amp; ambitious people who have their own story of dream – dare – discover.</w:t>
            </w:r>
          </w:p>
        </w:tc>
        <w:tc>
          <w:tcPr>
            <w:tcW w:w="4786" w:type="dxa"/>
          </w:tcPr>
          <w:p w:rsidR="009C36AA" w:rsidRDefault="009C36AA" w:rsidP="00AB19D9">
            <w:pPr>
              <w:pStyle w:val="d1eee4e5f0e6e8eceee5f2e0e1ebe8f6fb"/>
              <w:rPr>
                <w:rFonts w:asciiTheme="minorHAnsi" w:hAnsiTheme="minorHAnsi" w:cstheme="minorHAnsi"/>
                <w:b/>
                <w:lang w:val="en-US"/>
              </w:rPr>
            </w:pPr>
          </w:p>
          <w:p w:rsidR="009C36AA" w:rsidRPr="009C36AA" w:rsidRDefault="009C36AA" w:rsidP="00AB19D9">
            <w:pPr>
              <w:pStyle w:val="d1eee4e5f0e6e8eceee5f2e0e1ebe8f6fb"/>
              <w:rPr>
                <w:rFonts w:asciiTheme="minorHAnsi" w:hAnsiTheme="minorHAnsi" w:cstheme="minorHAnsi"/>
              </w:rPr>
            </w:pPr>
            <w:r w:rsidRPr="009C36AA">
              <w:rPr>
                <w:rFonts w:asciiTheme="minorHAnsi" w:hAnsiTheme="minorHAnsi" w:cstheme="minorHAnsi"/>
                <w:b/>
              </w:rPr>
              <w:t>Целевая группа</w:t>
            </w:r>
          </w:p>
          <w:p w:rsidR="009C36AA" w:rsidRPr="00FD41DF" w:rsidRDefault="009C36AA" w:rsidP="00AB19D9">
            <w:pPr>
              <w:pStyle w:val="d1eee4e5f0e6e8eceee5f2e0e1ebe8f6fb"/>
              <w:rPr>
                <w:rFonts w:asciiTheme="minorHAnsi" w:hAnsiTheme="minorHAnsi" w:cstheme="minorHAnsi"/>
                <w:b/>
              </w:rPr>
            </w:pPr>
          </w:p>
          <w:p w:rsidR="009C36AA" w:rsidRPr="009C36AA" w:rsidRDefault="009C36AA" w:rsidP="00AB19D9">
            <w:pPr>
              <w:pStyle w:val="d1eee4e5f0e6e8eceee5f2e0e1ebe8f6fb"/>
              <w:rPr>
                <w:rFonts w:asciiTheme="minorHAnsi" w:hAnsiTheme="minorHAnsi" w:cstheme="minorHAnsi"/>
                <w:b/>
              </w:rPr>
            </w:pPr>
            <w:r w:rsidRPr="009C36AA">
              <w:rPr>
                <w:rFonts w:asciiTheme="minorHAnsi" w:hAnsiTheme="minorHAnsi" w:cstheme="minorHAnsi"/>
                <w:b/>
              </w:rPr>
              <w:t xml:space="preserve">Сигары  </w:t>
            </w:r>
            <w:r w:rsidRPr="009C36AA">
              <w:rPr>
                <w:rFonts w:asciiTheme="minorHAnsi" w:hAnsiTheme="minorHAnsi" w:cstheme="minorHAnsi"/>
                <w:b/>
                <w:highlight w:val="black"/>
              </w:rPr>
              <w:t>Yamasá</w:t>
            </w:r>
            <w:r w:rsidRPr="009C36AA">
              <w:rPr>
                <w:rFonts w:asciiTheme="minorHAnsi" w:hAnsiTheme="minorHAnsi" w:cstheme="minorHAnsi"/>
                <w:b/>
              </w:rPr>
              <w:t xml:space="preserve"> идеально подходят:</w:t>
            </w:r>
          </w:p>
          <w:p w:rsidR="009C36AA" w:rsidRPr="007C40F6" w:rsidRDefault="009C36AA" w:rsidP="009C36AA">
            <w:pPr>
              <w:pStyle w:val="d1eee4e5f0e6e8eceee5f2e0e1ebe8f6fb"/>
              <w:rPr>
                <w:rFonts w:asciiTheme="minorHAnsi" w:hAnsiTheme="minorHAnsi" w:cstheme="minorHAnsi"/>
                <w:u w:val="single"/>
              </w:rPr>
            </w:pPr>
          </w:p>
          <w:p w:rsidR="009C36AA" w:rsidRPr="009C36AA" w:rsidRDefault="009C36AA" w:rsidP="009C36AA">
            <w:pPr>
              <w:pStyle w:val="d1eee4e5f0e6e8eceee5f2e0e1ebe8f6fb"/>
              <w:rPr>
                <w:rFonts w:asciiTheme="minorHAnsi" w:hAnsiTheme="minorHAnsi" w:cstheme="minorHAnsi"/>
              </w:rPr>
            </w:pPr>
            <w:r w:rsidRPr="009C36AA">
              <w:rPr>
                <w:rFonts w:asciiTheme="minorHAnsi" w:hAnsiTheme="minorHAnsi" w:cstheme="minorHAnsi"/>
                <w:u w:val="single"/>
              </w:rPr>
              <w:t>Авантюрист</w:t>
            </w:r>
            <w:r w:rsidR="008674D8">
              <w:rPr>
                <w:rFonts w:asciiTheme="minorHAnsi" w:hAnsiTheme="minorHAnsi" w:cstheme="minorHAnsi"/>
                <w:u w:val="single"/>
              </w:rPr>
              <w:t>ам</w:t>
            </w:r>
          </w:p>
          <w:p w:rsidR="009C36AA" w:rsidRDefault="009C36AA" w:rsidP="009C36AA">
            <w:pPr>
              <w:pStyle w:val="d1eee4e5f0e6e8eceee5f2e0e1ebe8f6fb"/>
              <w:rPr>
                <w:rFonts w:asciiTheme="minorHAnsi" w:hAnsiTheme="minorHAnsi" w:cstheme="minorHAnsi"/>
              </w:rPr>
            </w:pPr>
          </w:p>
          <w:p w:rsidR="009C36AA" w:rsidRPr="009C36AA" w:rsidRDefault="009C36AA" w:rsidP="009C36AA">
            <w:pPr>
              <w:pStyle w:val="d1eee4e5f0e6e8eceee5f2e0e1ebe8f6fb"/>
              <w:rPr>
                <w:rFonts w:asciiTheme="minorHAnsi" w:hAnsiTheme="minorHAnsi" w:cstheme="minorHAnsi"/>
              </w:rPr>
            </w:pPr>
            <w:r w:rsidRPr="009C36AA">
              <w:rPr>
                <w:rFonts w:asciiTheme="minorHAnsi" w:hAnsiTheme="minorHAnsi" w:cstheme="minorHAnsi"/>
              </w:rPr>
              <w:t>Авантюристы —</w:t>
            </w:r>
            <w:r>
              <w:rPr>
                <w:rFonts w:asciiTheme="minorHAnsi" w:hAnsiTheme="minorHAnsi" w:cstheme="minorHAnsi"/>
              </w:rPr>
              <w:t xml:space="preserve"> </w:t>
            </w:r>
            <w:r w:rsidRPr="009C36AA">
              <w:rPr>
                <w:rFonts w:asciiTheme="minorHAnsi" w:hAnsiTheme="minorHAnsi" w:cstheme="minorHAnsi"/>
              </w:rPr>
              <w:t>люди с широким кругозором, готовы открывать для себя новые вкусы, приключения и сигары, которые они никогда раньше не пробовали.</w:t>
            </w:r>
          </w:p>
          <w:p w:rsidR="009C36AA" w:rsidRPr="009C36AA" w:rsidRDefault="009C36AA" w:rsidP="009C36AA">
            <w:pPr>
              <w:pStyle w:val="d1eee4e5f0e6e8eceee5f2e0e1ebe8f6fb"/>
              <w:rPr>
                <w:rFonts w:asciiTheme="minorHAnsi" w:hAnsiTheme="minorHAnsi" w:cstheme="minorHAnsi"/>
                <w:u w:val="single"/>
              </w:rPr>
            </w:pPr>
          </w:p>
          <w:p w:rsidR="009C36AA" w:rsidRPr="009C36AA" w:rsidRDefault="009C36AA" w:rsidP="009C36AA">
            <w:pPr>
              <w:pStyle w:val="d1eee4e5f0e6e8eceee5f2e0e1ebe8f6fb"/>
              <w:rPr>
                <w:rFonts w:asciiTheme="minorHAnsi" w:hAnsiTheme="minorHAnsi" w:cstheme="minorHAnsi"/>
              </w:rPr>
            </w:pPr>
            <w:r w:rsidRPr="009C36AA">
              <w:rPr>
                <w:rFonts w:asciiTheme="minorHAnsi" w:hAnsiTheme="minorHAnsi" w:cstheme="minorHAnsi"/>
                <w:u w:val="single"/>
              </w:rPr>
              <w:t>Кубин</w:t>
            </w:r>
            <w:r w:rsidR="008674D8">
              <w:rPr>
                <w:rFonts w:asciiTheme="minorHAnsi" w:hAnsiTheme="minorHAnsi" w:cstheme="minorHAnsi"/>
                <w:u w:val="single"/>
              </w:rPr>
              <w:t>цу</w:t>
            </w:r>
            <w:r w:rsidRPr="009C36AA">
              <w:rPr>
                <w:rFonts w:asciiTheme="minorHAnsi" w:hAnsiTheme="minorHAnsi" w:cstheme="minorHAnsi"/>
              </w:rPr>
              <w:t xml:space="preserve"> </w:t>
            </w:r>
          </w:p>
          <w:p w:rsidR="009C36AA" w:rsidRDefault="009C36AA" w:rsidP="009C36AA">
            <w:pPr>
              <w:pStyle w:val="d1eee4e5f0e6e8eceee5f2e0e1ebe8f6fb"/>
              <w:rPr>
                <w:rFonts w:asciiTheme="minorHAnsi" w:hAnsiTheme="minorHAnsi" w:cstheme="minorHAnsi"/>
              </w:rPr>
            </w:pPr>
          </w:p>
          <w:p w:rsidR="009C36AA" w:rsidRPr="009C36AA" w:rsidRDefault="009C36AA" w:rsidP="009C36AA">
            <w:pPr>
              <w:pStyle w:val="d1eee4e5f0e6e8eceee5f2e0e1ebe8f6fb"/>
              <w:rPr>
                <w:rFonts w:asciiTheme="minorHAnsi" w:hAnsiTheme="minorHAnsi" w:cstheme="minorHAnsi"/>
              </w:rPr>
            </w:pPr>
            <w:r w:rsidRPr="009C36AA">
              <w:rPr>
                <w:rFonts w:asciiTheme="minorHAnsi" w:hAnsiTheme="minorHAnsi" w:cstheme="minorHAnsi"/>
              </w:rPr>
              <w:t>Кубинец —</w:t>
            </w:r>
            <w:r>
              <w:rPr>
                <w:rFonts w:asciiTheme="minorHAnsi" w:hAnsiTheme="minorHAnsi" w:cstheme="minorHAnsi"/>
              </w:rPr>
              <w:t xml:space="preserve"> </w:t>
            </w:r>
            <w:r w:rsidRPr="009C36AA">
              <w:rPr>
                <w:rFonts w:asciiTheme="minorHAnsi" w:hAnsiTheme="minorHAnsi" w:cstheme="minorHAnsi"/>
              </w:rPr>
              <w:t xml:space="preserve">истинный ценитель насыщенных кубинских сигар, </w:t>
            </w:r>
            <w:r>
              <w:rPr>
                <w:rFonts w:asciiTheme="minorHAnsi" w:hAnsiTheme="minorHAnsi" w:cstheme="minorHAnsi"/>
              </w:rPr>
              <w:t xml:space="preserve">способный </w:t>
            </w:r>
            <w:r w:rsidRPr="009C36AA">
              <w:rPr>
                <w:rFonts w:asciiTheme="minorHAnsi" w:hAnsiTheme="minorHAnsi" w:cstheme="minorHAnsi"/>
              </w:rPr>
              <w:t xml:space="preserve"> оценить сильный аромат и вкусовой спектр </w:t>
            </w:r>
            <w:r w:rsidRPr="0035449B">
              <w:rPr>
                <w:rFonts w:asciiTheme="minorHAnsi" w:hAnsiTheme="minorHAnsi" w:cstheme="minorHAnsi"/>
                <w:highlight w:val="black"/>
              </w:rPr>
              <w:t>Davidoff Yamasá</w:t>
            </w:r>
            <w:r w:rsidRPr="009C36AA">
              <w:rPr>
                <w:rFonts w:asciiTheme="minorHAnsi" w:hAnsiTheme="minorHAnsi" w:cstheme="minorHAnsi"/>
              </w:rPr>
              <w:t>.</w:t>
            </w:r>
          </w:p>
          <w:p w:rsidR="009C36AA" w:rsidRDefault="009C36AA" w:rsidP="009C36AA">
            <w:pPr>
              <w:pStyle w:val="d1eee4e5f0e6e8eceee5f2e0e1ebe8f6fb"/>
              <w:rPr>
                <w:rFonts w:asciiTheme="minorHAnsi" w:hAnsiTheme="minorHAnsi" w:cstheme="minorHAnsi"/>
                <w:u w:val="single"/>
              </w:rPr>
            </w:pPr>
          </w:p>
          <w:p w:rsidR="009C36AA" w:rsidRPr="009C36AA" w:rsidRDefault="008674D8" w:rsidP="009C36AA">
            <w:pPr>
              <w:pStyle w:val="d1eee4e5f0e6e8eceee5f2e0e1ebe8f6fb"/>
              <w:rPr>
                <w:rFonts w:asciiTheme="minorHAnsi" w:hAnsiTheme="minorHAnsi" w:cstheme="minorHAnsi"/>
              </w:rPr>
            </w:pPr>
            <w:r>
              <w:rPr>
                <w:rFonts w:asciiTheme="minorHAnsi" w:hAnsiTheme="minorHAnsi" w:cstheme="minorHAnsi"/>
                <w:u w:val="single"/>
              </w:rPr>
              <w:t>Самодостаточным</w:t>
            </w:r>
            <w:r w:rsidR="009C36AA" w:rsidRPr="009C36AA">
              <w:rPr>
                <w:rFonts w:asciiTheme="minorHAnsi" w:hAnsiTheme="minorHAnsi" w:cstheme="minorHAnsi"/>
                <w:u w:val="single"/>
              </w:rPr>
              <w:t xml:space="preserve"> мужчин</w:t>
            </w:r>
            <w:r>
              <w:rPr>
                <w:rFonts w:asciiTheme="minorHAnsi" w:hAnsiTheme="minorHAnsi" w:cstheme="minorHAnsi"/>
                <w:u w:val="single"/>
              </w:rPr>
              <w:t>ам</w:t>
            </w:r>
            <w:r w:rsidR="009C36AA" w:rsidRPr="009C36AA">
              <w:rPr>
                <w:rFonts w:asciiTheme="minorHAnsi" w:hAnsiTheme="minorHAnsi" w:cstheme="minorHAnsi"/>
              </w:rPr>
              <w:t xml:space="preserve"> </w:t>
            </w:r>
          </w:p>
          <w:p w:rsidR="009C36AA" w:rsidRDefault="009C36AA" w:rsidP="009C36AA">
            <w:pPr>
              <w:pStyle w:val="d1eee4e5f0e6e8eceee5f2e0e1ebe8f6fb"/>
              <w:rPr>
                <w:rFonts w:cstheme="minorBidi"/>
              </w:rPr>
            </w:pPr>
            <w:r w:rsidRPr="009C36AA">
              <w:rPr>
                <w:rFonts w:asciiTheme="minorHAnsi" w:hAnsiTheme="minorHAnsi" w:cstheme="minorHAnsi"/>
              </w:rPr>
              <w:t xml:space="preserve">Успешные, уверенные в себе и амбициозные люди, у которых есть собственная история мечты — вызова — достижения.  </w:t>
            </w:r>
          </w:p>
        </w:tc>
      </w:tr>
      <w:tr w:rsidR="000C1402" w:rsidTr="00B1249A">
        <w:tc>
          <w:tcPr>
            <w:tcW w:w="9571" w:type="dxa"/>
            <w:gridSpan w:val="2"/>
          </w:tcPr>
          <w:p w:rsidR="000C1402" w:rsidRPr="000C1402" w:rsidRDefault="000C1402" w:rsidP="000C1402">
            <w:pPr>
              <w:pStyle w:val="d1eee4e5f0e6e8eceee5f2e0e1ebe8f6fb"/>
              <w:jc w:val="center"/>
              <w:rPr>
                <w:rFonts w:asciiTheme="minorHAnsi" w:hAnsiTheme="minorHAnsi" w:cstheme="minorBidi"/>
                <w:b/>
                <w:lang w:val="en-US"/>
              </w:rPr>
            </w:pPr>
            <w:r w:rsidRPr="000C1402">
              <w:rPr>
                <w:rFonts w:asciiTheme="minorHAnsi" w:hAnsiTheme="minorHAnsi" w:cstheme="minorBidi"/>
                <w:b/>
                <w:lang w:val="en-US"/>
              </w:rPr>
              <w:t xml:space="preserve">Medicine (website translation) </w:t>
            </w:r>
          </w:p>
        </w:tc>
      </w:tr>
      <w:tr w:rsidR="009C36AA" w:rsidRPr="007C40F6" w:rsidTr="009C36AA">
        <w:tc>
          <w:tcPr>
            <w:tcW w:w="4785" w:type="dxa"/>
          </w:tcPr>
          <w:p w:rsidR="007C40F6" w:rsidRPr="007C40F6" w:rsidRDefault="009C36AA" w:rsidP="007C40F6">
            <w:pPr>
              <w:rPr>
                <w:rFonts w:cstheme="minorHAnsi"/>
                <w:sz w:val="24"/>
                <w:szCs w:val="24"/>
                <w:lang w:val="en-US"/>
              </w:rPr>
            </w:pPr>
            <w:r w:rsidRPr="00C466BE">
              <w:rPr>
                <w:rFonts w:cstheme="minorHAnsi"/>
                <w:sz w:val="24"/>
                <w:szCs w:val="24"/>
                <w:lang w:val="en-US"/>
              </w:rPr>
              <w:t xml:space="preserve"> </w:t>
            </w:r>
            <w:r w:rsidR="007C40F6" w:rsidRPr="007C40F6">
              <w:rPr>
                <w:rFonts w:cstheme="minorHAnsi"/>
                <w:sz w:val="24"/>
                <w:szCs w:val="24"/>
                <w:lang w:val="en-US"/>
              </w:rPr>
              <w:t>Condition topic</w:t>
            </w:r>
          </w:p>
          <w:p w:rsidR="007C40F6" w:rsidRPr="007C40F6" w:rsidRDefault="007C40F6" w:rsidP="007C40F6">
            <w:pPr>
              <w:rPr>
                <w:rFonts w:cstheme="minorHAnsi"/>
                <w:sz w:val="24"/>
                <w:szCs w:val="24"/>
                <w:lang w:val="en-US"/>
              </w:rPr>
            </w:pPr>
          </w:p>
          <w:p w:rsidR="007C40F6" w:rsidRPr="007C40F6" w:rsidRDefault="007C40F6" w:rsidP="007C40F6">
            <w:pPr>
              <w:rPr>
                <w:rFonts w:cstheme="minorHAnsi"/>
                <w:sz w:val="24"/>
                <w:szCs w:val="24"/>
                <w:lang w:val="en-US"/>
              </w:rPr>
            </w:pPr>
            <w:r w:rsidRPr="007C40F6">
              <w:rPr>
                <w:rFonts w:cstheme="minorHAnsi"/>
                <w:sz w:val="24"/>
                <w:szCs w:val="24"/>
                <w:lang w:val="en-US"/>
              </w:rPr>
              <w:t>The Condition topic provides comprehensive information on a specific condition or group of conditions. It covers all aspects of the disease, including treatment, presented in the following format:</w:t>
            </w:r>
          </w:p>
          <w:p w:rsidR="007C40F6" w:rsidRPr="007C40F6" w:rsidRDefault="007C40F6" w:rsidP="007C40F6">
            <w:pPr>
              <w:rPr>
                <w:rFonts w:cstheme="minorHAnsi"/>
                <w:sz w:val="24"/>
                <w:szCs w:val="24"/>
                <w:lang w:val="en-US"/>
              </w:rPr>
            </w:pPr>
          </w:p>
          <w:p w:rsidR="007F1A04" w:rsidRDefault="007F1A04" w:rsidP="007C40F6">
            <w:pPr>
              <w:rPr>
                <w:rFonts w:cstheme="minorHAnsi"/>
                <w:sz w:val="24"/>
                <w:szCs w:val="24"/>
                <w:lang w:val="en-US"/>
              </w:rPr>
            </w:pPr>
          </w:p>
          <w:p w:rsidR="007C40F6" w:rsidRPr="007C40F6" w:rsidRDefault="007C40F6" w:rsidP="007C40F6">
            <w:pPr>
              <w:rPr>
                <w:rFonts w:cstheme="minorHAnsi"/>
                <w:sz w:val="24"/>
                <w:szCs w:val="24"/>
                <w:lang w:val="en-US"/>
              </w:rPr>
            </w:pPr>
            <w:r w:rsidRPr="007C40F6">
              <w:rPr>
                <w:rFonts w:cstheme="minorHAnsi"/>
                <w:sz w:val="24"/>
                <w:szCs w:val="24"/>
                <w:lang w:val="en-US"/>
              </w:rPr>
              <w:t>- Basic information: definition, epidemiology, aetiology, pathophysiology and classification</w:t>
            </w:r>
          </w:p>
          <w:p w:rsidR="007C40F6" w:rsidRPr="007C40F6" w:rsidRDefault="007C40F6" w:rsidP="007C40F6">
            <w:pPr>
              <w:rPr>
                <w:rFonts w:cstheme="minorHAnsi"/>
                <w:sz w:val="24"/>
                <w:szCs w:val="24"/>
                <w:lang w:val="en-US"/>
              </w:rPr>
            </w:pPr>
          </w:p>
          <w:p w:rsidR="007F1A04" w:rsidRDefault="007F1A04" w:rsidP="007C40F6">
            <w:pPr>
              <w:rPr>
                <w:rFonts w:cstheme="minorHAnsi"/>
                <w:sz w:val="24"/>
                <w:szCs w:val="24"/>
                <w:lang w:val="en-US"/>
              </w:rPr>
            </w:pPr>
          </w:p>
          <w:p w:rsidR="007C40F6" w:rsidRPr="007C40F6" w:rsidRDefault="007C40F6" w:rsidP="007C40F6">
            <w:pPr>
              <w:rPr>
                <w:rFonts w:cstheme="minorHAnsi"/>
                <w:sz w:val="24"/>
                <w:szCs w:val="24"/>
                <w:lang w:val="en-US"/>
              </w:rPr>
            </w:pPr>
            <w:r w:rsidRPr="007F1A04">
              <w:rPr>
                <w:rFonts w:cstheme="minorHAnsi"/>
                <w:sz w:val="24"/>
                <w:szCs w:val="24"/>
                <w:lang w:val="en-US"/>
              </w:rPr>
              <w:t xml:space="preserve">- </w:t>
            </w:r>
            <w:r w:rsidRPr="007C40F6">
              <w:rPr>
                <w:rFonts w:cstheme="minorHAnsi"/>
                <w:sz w:val="24"/>
                <w:szCs w:val="24"/>
                <w:lang w:val="en-US"/>
              </w:rPr>
              <w:t>Prevention: primary, secondary and screening</w:t>
            </w:r>
          </w:p>
          <w:p w:rsidR="007C40F6" w:rsidRPr="007C40F6" w:rsidRDefault="007C40F6" w:rsidP="007C40F6">
            <w:pPr>
              <w:rPr>
                <w:rFonts w:cstheme="minorHAnsi"/>
                <w:sz w:val="24"/>
                <w:szCs w:val="24"/>
                <w:lang w:val="en-US"/>
              </w:rPr>
            </w:pPr>
          </w:p>
          <w:p w:rsidR="007C40F6" w:rsidRPr="007C40F6" w:rsidRDefault="007C40F6" w:rsidP="007C40F6">
            <w:pPr>
              <w:rPr>
                <w:rFonts w:cstheme="minorHAnsi"/>
                <w:sz w:val="24"/>
                <w:szCs w:val="24"/>
                <w:lang w:val="en-US"/>
              </w:rPr>
            </w:pPr>
            <w:r w:rsidRPr="007C40F6">
              <w:rPr>
                <w:rFonts w:cstheme="minorHAnsi"/>
                <w:sz w:val="24"/>
                <w:szCs w:val="24"/>
                <w:lang w:val="en-US"/>
              </w:rPr>
              <w:t>- Diagnosis: history and exam, risk factors, differential diagnosis, step-by- step treatment approach, diagnostic guidelines and case histories</w:t>
            </w:r>
          </w:p>
          <w:p w:rsidR="007C40F6" w:rsidRPr="007C40F6" w:rsidRDefault="007C40F6" w:rsidP="007C40F6">
            <w:pPr>
              <w:rPr>
                <w:rFonts w:cstheme="minorHAnsi"/>
                <w:sz w:val="24"/>
                <w:szCs w:val="24"/>
                <w:lang w:val="en-US"/>
              </w:rPr>
            </w:pPr>
          </w:p>
          <w:p w:rsidR="007C40F6" w:rsidRPr="007C40F6" w:rsidRDefault="007C40F6" w:rsidP="007C40F6">
            <w:pPr>
              <w:rPr>
                <w:rFonts w:cstheme="minorHAnsi"/>
                <w:sz w:val="24"/>
                <w:szCs w:val="24"/>
                <w:lang w:val="en-US"/>
              </w:rPr>
            </w:pPr>
          </w:p>
          <w:p w:rsidR="007C40F6" w:rsidRPr="007C40F6" w:rsidRDefault="007C40F6" w:rsidP="007C40F6">
            <w:pPr>
              <w:rPr>
                <w:rFonts w:cstheme="minorHAnsi"/>
                <w:sz w:val="24"/>
                <w:szCs w:val="24"/>
                <w:lang w:val="en-US"/>
              </w:rPr>
            </w:pPr>
            <w:r w:rsidRPr="007C40F6">
              <w:rPr>
                <w:rFonts w:cstheme="minorHAnsi"/>
                <w:sz w:val="24"/>
                <w:szCs w:val="24"/>
                <w:lang w:val="en-US"/>
              </w:rPr>
              <w:lastRenderedPageBreak/>
              <w:t>- Treatment: detailed by patient groups with links to medication formularies; treatment approach; emerging treatments; treatment guidelines and evidence.</w:t>
            </w:r>
          </w:p>
          <w:p w:rsidR="007C40F6" w:rsidRPr="007C40F6" w:rsidRDefault="007C40F6" w:rsidP="007C40F6">
            <w:pPr>
              <w:rPr>
                <w:rFonts w:cstheme="minorHAnsi"/>
                <w:sz w:val="24"/>
                <w:szCs w:val="24"/>
                <w:lang w:val="en-US"/>
              </w:rPr>
            </w:pPr>
          </w:p>
          <w:p w:rsidR="007C40F6" w:rsidRPr="007C40F6" w:rsidRDefault="007C40F6" w:rsidP="007C40F6">
            <w:pPr>
              <w:rPr>
                <w:rFonts w:cstheme="minorHAnsi"/>
                <w:sz w:val="24"/>
                <w:szCs w:val="24"/>
                <w:lang w:val="en-US"/>
              </w:rPr>
            </w:pPr>
            <w:r w:rsidRPr="007C40F6">
              <w:rPr>
                <w:rFonts w:cstheme="minorHAnsi"/>
                <w:sz w:val="24"/>
                <w:szCs w:val="24"/>
                <w:lang w:val="en-US"/>
              </w:rPr>
              <w:t>- Follow up: recommendations, complications and prognosis</w:t>
            </w:r>
          </w:p>
          <w:p w:rsidR="007C40F6" w:rsidRPr="007C40F6" w:rsidRDefault="007C40F6" w:rsidP="007C40F6">
            <w:pPr>
              <w:rPr>
                <w:rFonts w:cstheme="minorHAnsi"/>
                <w:sz w:val="24"/>
                <w:szCs w:val="24"/>
                <w:lang w:val="en-US"/>
              </w:rPr>
            </w:pPr>
          </w:p>
          <w:p w:rsidR="007C40F6" w:rsidRPr="007C40F6" w:rsidRDefault="007C40F6" w:rsidP="007C40F6">
            <w:pPr>
              <w:rPr>
                <w:rFonts w:cstheme="minorHAnsi"/>
                <w:sz w:val="24"/>
                <w:szCs w:val="24"/>
                <w:lang w:val="en-US"/>
              </w:rPr>
            </w:pPr>
          </w:p>
          <w:p w:rsidR="009C36AA" w:rsidRPr="007C40F6" w:rsidRDefault="007C40F6" w:rsidP="007C40F6">
            <w:pPr>
              <w:rPr>
                <w:rFonts w:cstheme="minorHAnsi"/>
                <w:sz w:val="24"/>
                <w:szCs w:val="24"/>
                <w:lang w:val="en-US"/>
              </w:rPr>
            </w:pPr>
            <w:r w:rsidRPr="007C40F6">
              <w:rPr>
                <w:rFonts w:cstheme="minorHAnsi"/>
                <w:sz w:val="24"/>
                <w:szCs w:val="24"/>
                <w:lang w:val="en-US"/>
              </w:rPr>
              <w:t>- Resources: references, images, online resources, patient leaflets</w:t>
            </w:r>
          </w:p>
        </w:tc>
        <w:tc>
          <w:tcPr>
            <w:tcW w:w="4786" w:type="dxa"/>
          </w:tcPr>
          <w:p w:rsidR="007C40F6" w:rsidRPr="007C40F6" w:rsidRDefault="009C36AA" w:rsidP="007C40F6">
            <w:pPr>
              <w:pStyle w:val="a4"/>
              <w:spacing w:before="0" w:beforeAutospacing="0" w:after="280" w:afterAutospacing="0"/>
              <w:rPr>
                <w:rFonts w:asciiTheme="minorHAnsi" w:hAnsiTheme="minorHAnsi" w:cstheme="minorHAnsi"/>
                <w:lang w:val="en-US"/>
              </w:rPr>
            </w:pPr>
            <w:r w:rsidRPr="007C40F6">
              <w:rPr>
                <w:rFonts w:asciiTheme="minorHAnsi" w:hAnsiTheme="minorHAnsi" w:cstheme="minorHAnsi"/>
                <w:lang w:val="en-US"/>
              </w:rPr>
              <w:lastRenderedPageBreak/>
              <w:t xml:space="preserve"> </w:t>
            </w:r>
            <w:r w:rsidR="007C40F6" w:rsidRPr="007C40F6">
              <w:rPr>
                <w:rFonts w:asciiTheme="minorHAnsi" w:hAnsiTheme="minorHAnsi" w:cstheme="minorHAnsi"/>
                <w:bCs/>
              </w:rPr>
              <w:t>Захворювання</w:t>
            </w:r>
          </w:p>
          <w:p w:rsidR="007C40F6" w:rsidRPr="007C40F6" w:rsidRDefault="007C40F6" w:rsidP="007C40F6">
            <w:pPr>
              <w:pStyle w:val="a4"/>
              <w:spacing w:before="0" w:beforeAutospacing="0" w:after="280" w:afterAutospacing="0"/>
              <w:rPr>
                <w:rFonts w:asciiTheme="minorHAnsi" w:hAnsiTheme="minorHAnsi" w:cstheme="minorHAnsi"/>
                <w:lang w:val="en-US"/>
              </w:rPr>
            </w:pPr>
            <w:r w:rsidRPr="007C40F6">
              <w:rPr>
                <w:rFonts w:asciiTheme="minorHAnsi" w:hAnsiTheme="minorHAnsi" w:cstheme="minorHAnsi"/>
                <w:color w:val="000000"/>
              </w:rPr>
              <w:t>У</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секції</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Захворювання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розміщена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повна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інформація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щодо</w:t>
            </w:r>
            <w:r w:rsidRPr="007C40F6">
              <w:rPr>
                <w:rFonts w:asciiTheme="minorHAnsi" w:hAnsiTheme="minorHAnsi" w:cstheme="minorHAnsi"/>
                <w:color w:val="000000"/>
                <w:lang w:val="en-US"/>
              </w:rPr>
              <w:t xml:space="preserve"> </w:t>
            </w:r>
            <w:proofErr w:type="gramStart"/>
            <w:r w:rsidRPr="007C40F6">
              <w:rPr>
                <w:rFonts w:asciiTheme="minorHAnsi" w:hAnsiTheme="minorHAnsi" w:cstheme="minorHAnsi"/>
                <w:color w:val="000000"/>
              </w:rPr>
              <w:t>конкретного</w:t>
            </w:r>
            <w:proofErr w:type="gramEnd"/>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захворювання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чи</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груп</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захворювань</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lang w:val="uk-UA"/>
              </w:rPr>
              <w:t>Дана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секція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охоплює</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всі</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аспекти</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захворювання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включаючи</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лікування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та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подана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у</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наступному</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форматі</w:t>
            </w:r>
            <w:r w:rsidRPr="007C40F6">
              <w:rPr>
                <w:rFonts w:asciiTheme="minorHAnsi" w:hAnsiTheme="minorHAnsi" w:cstheme="minorHAnsi"/>
                <w:color w:val="000000"/>
                <w:lang w:val="en-US"/>
              </w:rPr>
              <w:t>:</w:t>
            </w:r>
          </w:p>
          <w:p w:rsidR="007C40F6" w:rsidRPr="007C40F6" w:rsidRDefault="007C40F6" w:rsidP="007C40F6">
            <w:pPr>
              <w:pStyle w:val="a4"/>
              <w:spacing w:before="0" w:beforeAutospacing="0" w:after="0" w:afterAutospacing="0"/>
              <w:textAlignment w:val="baseline"/>
              <w:rPr>
                <w:rFonts w:asciiTheme="minorHAnsi" w:hAnsiTheme="minorHAnsi" w:cstheme="minorHAnsi"/>
                <w:color w:val="333333"/>
                <w:lang w:val="en-US"/>
              </w:rPr>
            </w:pP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Основна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інформація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визначення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епідеміологія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причина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хвороби</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патофізіологія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та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класифікація</w:t>
            </w:r>
          </w:p>
          <w:p w:rsidR="007C40F6" w:rsidRPr="007C40F6" w:rsidRDefault="007C40F6" w:rsidP="007C40F6">
            <w:pPr>
              <w:pStyle w:val="a4"/>
              <w:spacing w:before="0" w:beforeAutospacing="0" w:after="0" w:afterAutospacing="0"/>
              <w:textAlignment w:val="baseline"/>
              <w:rPr>
                <w:rFonts w:asciiTheme="minorHAnsi" w:hAnsiTheme="minorHAnsi" w:cstheme="minorHAnsi"/>
                <w:color w:val="000000"/>
                <w:lang w:val="en-US"/>
              </w:rPr>
            </w:pPr>
          </w:p>
          <w:p w:rsidR="007C40F6" w:rsidRPr="007C40F6" w:rsidRDefault="007C40F6" w:rsidP="007C40F6">
            <w:pPr>
              <w:pStyle w:val="a4"/>
              <w:spacing w:before="0" w:beforeAutospacing="0" w:after="0" w:afterAutospacing="0"/>
              <w:textAlignment w:val="baseline"/>
              <w:rPr>
                <w:rFonts w:asciiTheme="minorHAnsi" w:hAnsiTheme="minorHAnsi" w:cstheme="minorHAnsi"/>
                <w:color w:val="333333"/>
                <w:lang w:val="en-US"/>
              </w:rPr>
            </w:pP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Профілактика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первинна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вторинна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та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скринінг</w:t>
            </w:r>
          </w:p>
          <w:p w:rsidR="007C40F6" w:rsidRPr="007C40F6" w:rsidRDefault="007C40F6" w:rsidP="007C40F6">
            <w:pPr>
              <w:pStyle w:val="a4"/>
              <w:spacing w:before="0" w:beforeAutospacing="0" w:after="0" w:afterAutospacing="0"/>
              <w:textAlignment w:val="baseline"/>
              <w:rPr>
                <w:rFonts w:asciiTheme="minorHAnsi" w:hAnsiTheme="minorHAnsi" w:cstheme="minorHAnsi"/>
                <w:color w:val="000000"/>
                <w:lang w:val="en-US"/>
              </w:rPr>
            </w:pPr>
          </w:p>
          <w:p w:rsidR="007C40F6" w:rsidRPr="007C40F6" w:rsidRDefault="007C40F6" w:rsidP="007C40F6">
            <w:pPr>
              <w:pStyle w:val="a4"/>
              <w:spacing w:before="0" w:beforeAutospacing="0" w:after="0" w:afterAutospacing="0"/>
              <w:textAlignment w:val="baseline"/>
              <w:rPr>
                <w:rFonts w:asciiTheme="minorHAnsi" w:hAnsiTheme="minorHAnsi" w:cstheme="minorHAnsi"/>
                <w:color w:val="333333"/>
                <w:lang w:val="en-US"/>
              </w:rPr>
            </w:pP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Встановлення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діагнозу</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історія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та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медичний</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огляд</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фактори</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ризику</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диференціальний</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діагноз</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поетапне</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лікування</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методичні</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рекомендації</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щодо</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діагностики</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та</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клінічні</w:t>
            </w:r>
            <w:r w:rsidRPr="007C40F6">
              <w:rPr>
                <w:rFonts w:asciiTheme="minorHAnsi" w:hAnsiTheme="minorHAnsi" w:cstheme="minorHAnsi"/>
                <w:color w:val="000000"/>
                <w:lang w:val="en-US"/>
              </w:rPr>
              <w:t xml:space="preserve"> </w:t>
            </w:r>
            <w:r w:rsidRPr="007C40F6">
              <w:rPr>
                <w:rFonts w:asciiTheme="minorHAnsi" w:hAnsiTheme="minorHAnsi" w:cstheme="minorHAnsi"/>
                <w:color w:val="000000"/>
              </w:rPr>
              <w:t>випадки</w:t>
            </w:r>
          </w:p>
          <w:p w:rsidR="007C40F6" w:rsidRPr="00FD41DF" w:rsidRDefault="007C40F6" w:rsidP="007C40F6">
            <w:pPr>
              <w:pStyle w:val="a4"/>
              <w:spacing w:before="0" w:beforeAutospacing="0" w:after="0" w:afterAutospacing="0"/>
              <w:textAlignment w:val="baseline"/>
              <w:rPr>
                <w:rFonts w:asciiTheme="minorHAnsi" w:hAnsiTheme="minorHAnsi" w:cstheme="minorHAnsi"/>
                <w:color w:val="000000"/>
                <w:lang w:val="en-US"/>
              </w:rPr>
            </w:pPr>
          </w:p>
          <w:p w:rsidR="007C40F6" w:rsidRPr="008674D8" w:rsidRDefault="007C40F6" w:rsidP="007C40F6">
            <w:pPr>
              <w:pStyle w:val="a4"/>
              <w:spacing w:before="0" w:beforeAutospacing="0" w:after="0" w:afterAutospacing="0"/>
              <w:textAlignment w:val="baseline"/>
              <w:rPr>
                <w:rFonts w:asciiTheme="minorHAnsi" w:hAnsiTheme="minorHAnsi" w:cstheme="minorHAnsi"/>
                <w:color w:val="333333"/>
                <w:lang w:val="en-US"/>
              </w:rPr>
            </w:pPr>
            <w:r w:rsidRPr="008674D8">
              <w:rPr>
                <w:rFonts w:asciiTheme="minorHAnsi" w:hAnsiTheme="minorHAnsi" w:cstheme="minorHAnsi"/>
                <w:color w:val="000000"/>
                <w:lang w:val="en-US"/>
              </w:rPr>
              <w:lastRenderedPageBreak/>
              <w:t xml:space="preserve">- </w:t>
            </w:r>
            <w:r w:rsidRPr="007C40F6">
              <w:rPr>
                <w:rFonts w:asciiTheme="minorHAnsi" w:hAnsiTheme="minorHAnsi" w:cstheme="minorHAnsi"/>
                <w:color w:val="000000"/>
              </w:rPr>
              <w:t>Лікування</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розбите</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на</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групи</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пацієнтів</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з</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посиланнями</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на</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формуляри</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лікарських</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засобів</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підхід</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у</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лікуванні</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терапія</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рекомендації</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щодо</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лікування</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та</w:t>
            </w:r>
            <w:r w:rsidRPr="008674D8">
              <w:rPr>
                <w:rFonts w:asciiTheme="minorHAnsi" w:hAnsiTheme="minorHAnsi" w:cstheme="minorHAnsi"/>
                <w:color w:val="000000"/>
                <w:lang w:val="en-US"/>
              </w:rPr>
              <w:t xml:space="preserve"> </w:t>
            </w:r>
            <w:r w:rsidRPr="007C40F6">
              <w:rPr>
                <w:rFonts w:asciiTheme="minorHAnsi" w:hAnsiTheme="minorHAnsi" w:cstheme="minorHAnsi"/>
                <w:color w:val="000000"/>
              </w:rPr>
              <w:t>симптоми</w:t>
            </w:r>
            <w:r w:rsidRPr="008674D8">
              <w:rPr>
                <w:rFonts w:asciiTheme="minorHAnsi" w:hAnsiTheme="minorHAnsi" w:cstheme="minorHAnsi"/>
                <w:color w:val="000000"/>
                <w:lang w:val="en-US"/>
              </w:rPr>
              <w:t>.</w:t>
            </w:r>
          </w:p>
          <w:p w:rsidR="007C40F6" w:rsidRPr="008674D8" w:rsidRDefault="007C40F6" w:rsidP="007C40F6">
            <w:pPr>
              <w:pStyle w:val="a4"/>
              <w:spacing w:before="0" w:beforeAutospacing="0" w:after="0" w:afterAutospacing="0"/>
              <w:textAlignment w:val="baseline"/>
              <w:rPr>
                <w:rFonts w:asciiTheme="minorHAnsi" w:hAnsiTheme="minorHAnsi" w:cstheme="minorHAnsi"/>
                <w:color w:val="000000"/>
                <w:lang w:val="en-US"/>
              </w:rPr>
            </w:pPr>
          </w:p>
          <w:p w:rsidR="007C40F6" w:rsidRPr="007C40F6" w:rsidRDefault="007C40F6" w:rsidP="007C40F6">
            <w:pPr>
              <w:pStyle w:val="a4"/>
              <w:spacing w:before="0" w:beforeAutospacing="0" w:after="0" w:afterAutospacing="0"/>
              <w:textAlignment w:val="baseline"/>
              <w:rPr>
                <w:rFonts w:asciiTheme="minorHAnsi" w:hAnsiTheme="minorHAnsi" w:cstheme="minorHAnsi"/>
                <w:color w:val="333333"/>
              </w:rPr>
            </w:pPr>
            <w:r w:rsidRPr="007C40F6">
              <w:rPr>
                <w:rFonts w:asciiTheme="minorHAnsi" w:hAnsiTheme="minorHAnsi" w:cstheme="minorHAnsi"/>
                <w:color w:val="000000"/>
              </w:rPr>
              <w:t>- Повторна консультація: рекомендації, ускладнення та прогнози</w:t>
            </w:r>
          </w:p>
          <w:p w:rsidR="007C40F6" w:rsidRPr="007C40F6" w:rsidRDefault="007C40F6" w:rsidP="007C40F6">
            <w:pPr>
              <w:pStyle w:val="a4"/>
              <w:spacing w:before="0" w:beforeAutospacing="0" w:after="280" w:afterAutospacing="0"/>
              <w:textAlignment w:val="baseline"/>
              <w:rPr>
                <w:rFonts w:asciiTheme="minorHAnsi" w:hAnsiTheme="minorHAnsi" w:cstheme="minorHAnsi"/>
                <w:color w:val="000000"/>
              </w:rPr>
            </w:pPr>
          </w:p>
          <w:p w:rsidR="007C40F6" w:rsidRPr="007C40F6" w:rsidRDefault="007C40F6" w:rsidP="007C40F6">
            <w:pPr>
              <w:pStyle w:val="a4"/>
              <w:spacing w:before="0" w:beforeAutospacing="0" w:after="280" w:afterAutospacing="0"/>
              <w:textAlignment w:val="baseline"/>
              <w:rPr>
                <w:rFonts w:asciiTheme="minorHAnsi" w:hAnsiTheme="minorHAnsi" w:cstheme="minorHAnsi"/>
                <w:color w:val="333333"/>
              </w:rPr>
            </w:pPr>
            <w:r w:rsidRPr="007C40F6">
              <w:rPr>
                <w:rFonts w:asciiTheme="minorHAnsi" w:hAnsiTheme="minorHAnsi" w:cstheme="minorHAnsi"/>
                <w:color w:val="000000"/>
              </w:rPr>
              <w:t>- Ресурси: посилання, зображення, онлайн ресурси, анотації</w:t>
            </w:r>
          </w:p>
          <w:p w:rsidR="009C36AA" w:rsidRPr="007C40F6" w:rsidRDefault="009C36AA" w:rsidP="00AB19D9">
            <w:pPr>
              <w:pStyle w:val="d1eee4e5f0e6e8eceee5f2e0e1ebe8f6fb"/>
              <w:rPr>
                <w:rFonts w:asciiTheme="minorHAnsi" w:hAnsiTheme="minorHAnsi" w:cstheme="minorHAnsi"/>
              </w:rPr>
            </w:pPr>
          </w:p>
        </w:tc>
      </w:tr>
      <w:tr w:rsidR="000C1402" w:rsidRPr="00C466BE" w:rsidTr="000C1402">
        <w:trPr>
          <w:trHeight w:val="453"/>
        </w:trPr>
        <w:tc>
          <w:tcPr>
            <w:tcW w:w="9571" w:type="dxa"/>
            <w:gridSpan w:val="2"/>
          </w:tcPr>
          <w:p w:rsidR="000C1402" w:rsidRPr="000C1402" w:rsidRDefault="000C1402" w:rsidP="000C1402">
            <w:pPr>
              <w:jc w:val="center"/>
              <w:rPr>
                <w:rFonts w:cstheme="minorHAnsi"/>
                <w:b/>
                <w:sz w:val="24"/>
                <w:szCs w:val="24"/>
                <w:lang w:val="en-US"/>
              </w:rPr>
            </w:pPr>
            <w:r w:rsidRPr="000C1402">
              <w:rPr>
                <w:rFonts w:cstheme="minorHAnsi"/>
                <w:b/>
                <w:sz w:val="24"/>
                <w:szCs w:val="24"/>
                <w:lang w:val="en-US"/>
              </w:rPr>
              <w:lastRenderedPageBreak/>
              <w:t>Literature (Sisterhood by Bobbie Houston)</w:t>
            </w:r>
          </w:p>
          <w:p w:rsidR="000C1402" w:rsidRPr="000C1402" w:rsidRDefault="000C1402" w:rsidP="00AB19D9">
            <w:pPr>
              <w:pStyle w:val="d1eee4e5f0e6e8eceee5f2e0e1ebe8f6fb"/>
              <w:rPr>
                <w:rFonts w:asciiTheme="minorHAnsi" w:hAnsiTheme="minorHAnsi" w:cstheme="minorHAnsi"/>
                <w:lang w:val="en-US"/>
              </w:rPr>
            </w:pPr>
            <w:r w:rsidRPr="000C1402">
              <w:rPr>
                <w:rFonts w:asciiTheme="minorHAnsi" w:hAnsiTheme="minorHAnsi" w:cstheme="minorHAnsi"/>
                <w:lang w:val="en-US"/>
              </w:rPr>
              <w:t xml:space="preserve"> </w:t>
            </w:r>
          </w:p>
        </w:tc>
      </w:tr>
      <w:tr w:rsidR="00FD41DF" w:rsidRPr="00FD41DF" w:rsidTr="009C36AA">
        <w:tc>
          <w:tcPr>
            <w:tcW w:w="4785" w:type="dxa"/>
          </w:tcPr>
          <w:p w:rsidR="00FD41DF" w:rsidRPr="008674D8" w:rsidRDefault="00FD41DF" w:rsidP="00FD41DF">
            <w:pPr>
              <w:rPr>
                <w:rFonts w:eastAsia="Times New Roman" w:cstheme="minorHAnsi"/>
                <w:sz w:val="24"/>
                <w:szCs w:val="24"/>
                <w:lang w:val="en-US"/>
              </w:rPr>
            </w:pPr>
            <w:r w:rsidRPr="0006289B">
              <w:rPr>
                <w:rFonts w:eastAsia="Times New Roman" w:cstheme="minorHAnsi"/>
                <w:color w:val="231F20"/>
                <w:sz w:val="24"/>
                <w:szCs w:val="24"/>
                <w:lang w:val="en-US"/>
              </w:rPr>
              <w:t>One</w:t>
            </w:r>
            <w:r w:rsidRPr="008674D8">
              <w:rPr>
                <w:rFonts w:eastAsia="Times New Roman" w:cstheme="minorHAnsi"/>
                <w:color w:val="231F20"/>
                <w:sz w:val="24"/>
                <w:szCs w:val="24"/>
                <w:lang w:val="en-US"/>
              </w:rPr>
              <w:t xml:space="preserve"> More Story</w:t>
            </w:r>
            <w:r w:rsidRPr="008674D8">
              <w:rPr>
                <w:rFonts w:eastAsia="Times New Roman" w:cstheme="minorHAnsi"/>
                <w:color w:val="231F20"/>
                <w:sz w:val="24"/>
                <w:szCs w:val="24"/>
                <w:lang w:val="en-US"/>
              </w:rPr>
              <w:br/>
            </w:r>
            <w:r w:rsidRPr="008674D8">
              <w:rPr>
                <w:rFonts w:eastAsia="Times New Roman" w:cstheme="minorHAnsi"/>
                <w:color w:val="231F20"/>
                <w:sz w:val="24"/>
                <w:szCs w:val="24"/>
                <w:lang w:val="en-US"/>
              </w:rPr>
              <w:br/>
            </w:r>
          </w:p>
          <w:p w:rsidR="00FD41DF" w:rsidRPr="0006289B" w:rsidRDefault="00FD41DF" w:rsidP="00FD41DF">
            <w:pPr>
              <w:rPr>
                <w:rFonts w:cstheme="minorHAnsi"/>
                <w:sz w:val="24"/>
                <w:szCs w:val="24"/>
                <w:lang w:val="en-US"/>
              </w:rPr>
            </w:pPr>
            <w:r w:rsidRPr="0006289B">
              <w:rPr>
                <w:rFonts w:eastAsia="Times New Roman" w:cstheme="minorHAnsi"/>
                <w:color w:val="231F20"/>
                <w:sz w:val="24"/>
                <w:szCs w:val="24"/>
                <w:lang w:val="en-US"/>
              </w:rPr>
              <w:t xml:space="preserve">I love this story and will leave it with you as I begin to bring this chapter to a close. The fight for justice always starts with awareness. As you will have gathered, the issue of </w:t>
            </w:r>
            <w:proofErr w:type="spellStart"/>
            <w:r w:rsidRPr="0006289B">
              <w:rPr>
                <w:rFonts w:eastAsia="Times New Roman" w:cstheme="minorHAnsi"/>
                <w:color w:val="231F20"/>
                <w:sz w:val="24"/>
                <w:szCs w:val="24"/>
                <w:lang w:val="en-US"/>
              </w:rPr>
              <w:t>traffiking</w:t>
            </w:r>
            <w:proofErr w:type="spellEnd"/>
            <w:r w:rsidRPr="0006289B">
              <w:rPr>
                <w:rFonts w:eastAsia="Times New Roman" w:cstheme="minorHAnsi"/>
                <w:color w:val="231F20"/>
                <w:sz w:val="24"/>
                <w:szCs w:val="24"/>
                <w:lang w:val="en-US"/>
              </w:rPr>
              <w:t xml:space="preserve"> is front and center of the Sisterhood story. World authorities say that human </w:t>
            </w:r>
            <w:proofErr w:type="spellStart"/>
            <w:r w:rsidRPr="0006289B">
              <w:rPr>
                <w:rFonts w:eastAsia="Times New Roman" w:cstheme="minorHAnsi"/>
                <w:color w:val="231F20"/>
                <w:sz w:val="24"/>
                <w:szCs w:val="24"/>
                <w:lang w:val="en-US"/>
              </w:rPr>
              <w:t>traffiking</w:t>
            </w:r>
            <w:proofErr w:type="spellEnd"/>
            <w:r w:rsidRPr="0006289B">
              <w:rPr>
                <w:rFonts w:eastAsia="Times New Roman" w:cstheme="minorHAnsi"/>
                <w:color w:val="231F20"/>
                <w:sz w:val="24"/>
                <w:szCs w:val="24"/>
                <w:lang w:val="en-US"/>
              </w:rPr>
              <w:t xml:space="preserve"> is the second-largest criminal industry after drug dealing. It is as large an industry as the supply of illegal weapons and arms, and it is not going away. Sadly, I’m not sure it will ever be fully dealt with, and unprecedented migrant exodus from troubled nations is feeding the problem even more. However, the magnitude of these issues shouldn’t stop us </w:t>
            </w:r>
            <w:proofErr w:type="spellStart"/>
            <w:r w:rsidRPr="0006289B">
              <w:rPr>
                <w:rFonts w:eastAsia="Times New Roman" w:cstheme="minorHAnsi"/>
                <w:color w:val="231F20"/>
                <w:sz w:val="24"/>
                <w:szCs w:val="24"/>
                <w:lang w:val="en-US"/>
              </w:rPr>
              <w:t>fihting</w:t>
            </w:r>
            <w:proofErr w:type="spellEnd"/>
            <w:r w:rsidRPr="0006289B">
              <w:rPr>
                <w:rFonts w:eastAsia="Times New Roman" w:cstheme="minorHAnsi"/>
                <w:color w:val="231F20"/>
                <w:sz w:val="24"/>
                <w:szCs w:val="24"/>
                <w:lang w:val="en-US"/>
              </w:rPr>
              <w:t xml:space="preserve"> for the ones who can be rescued. Awareness, prevention, education, rescue, and prosecution are the strategy. In this story, awareness proved the catalyst of rescue.</w:t>
            </w:r>
          </w:p>
        </w:tc>
        <w:tc>
          <w:tcPr>
            <w:tcW w:w="4786" w:type="dxa"/>
          </w:tcPr>
          <w:p w:rsidR="00FD41DF" w:rsidRPr="0006289B" w:rsidRDefault="008674D8" w:rsidP="00AB19D9">
            <w:pPr>
              <w:pStyle w:val="d1eee4e5f0e6e8eceee5f2e0e1ebe8f6fb"/>
              <w:rPr>
                <w:rFonts w:asciiTheme="minorHAnsi" w:hAnsiTheme="minorHAnsi" w:cstheme="minorHAnsi"/>
              </w:rPr>
            </w:pPr>
            <w:r>
              <w:rPr>
                <w:rFonts w:asciiTheme="minorHAnsi" w:hAnsiTheme="minorHAnsi" w:cstheme="minorHAnsi"/>
              </w:rPr>
              <w:t>Еще</w:t>
            </w:r>
            <w:proofErr w:type="gramStart"/>
            <w:r>
              <w:rPr>
                <w:rFonts w:asciiTheme="minorHAnsi" w:hAnsiTheme="minorHAnsi" w:cstheme="minorHAnsi"/>
              </w:rPr>
              <w:t xml:space="preserve"> </w:t>
            </w:r>
            <w:r w:rsidR="00FD41DF" w:rsidRPr="0006289B">
              <w:rPr>
                <w:rFonts w:asciiTheme="minorHAnsi" w:hAnsiTheme="minorHAnsi" w:cstheme="minorHAnsi"/>
              </w:rPr>
              <w:t>О</w:t>
            </w:r>
            <w:proofErr w:type="gramEnd"/>
            <w:r w:rsidR="00FD41DF" w:rsidRPr="0006289B">
              <w:rPr>
                <w:rFonts w:asciiTheme="minorHAnsi" w:hAnsiTheme="minorHAnsi" w:cstheme="minorHAnsi"/>
              </w:rPr>
              <w:t xml:space="preserve">дна История </w:t>
            </w:r>
          </w:p>
          <w:p w:rsidR="00FD41DF" w:rsidRPr="0006289B" w:rsidRDefault="00FD41DF" w:rsidP="00AB19D9">
            <w:pPr>
              <w:pStyle w:val="d1eee4e5f0e6e8eceee5f2e0e1ebe8f6fb"/>
              <w:rPr>
                <w:rFonts w:asciiTheme="minorHAnsi" w:hAnsiTheme="minorHAnsi" w:cstheme="minorHAnsi"/>
              </w:rPr>
            </w:pPr>
          </w:p>
          <w:p w:rsidR="00FD41DF" w:rsidRPr="0006289B" w:rsidRDefault="00FD41DF" w:rsidP="00AB19D9">
            <w:pPr>
              <w:pStyle w:val="d1eee4e5f0e6e8eceee5f2e0e1ebe8f6fb"/>
              <w:rPr>
                <w:rFonts w:asciiTheme="minorHAnsi" w:hAnsiTheme="minorHAnsi" w:cstheme="minorHAnsi"/>
              </w:rPr>
            </w:pPr>
          </w:p>
          <w:p w:rsidR="00FD41DF" w:rsidRPr="0006289B" w:rsidRDefault="00FD41DF" w:rsidP="0006289B">
            <w:pPr>
              <w:pStyle w:val="d1eee4e5f0e6e8eceee5f2e0e1ebe8f6fb"/>
              <w:rPr>
                <w:rFonts w:asciiTheme="minorHAnsi" w:hAnsiTheme="minorHAnsi" w:cstheme="minorHAnsi"/>
              </w:rPr>
            </w:pPr>
            <w:r w:rsidRPr="0006289B">
              <w:rPr>
                <w:rFonts w:asciiTheme="minorHAnsi" w:hAnsiTheme="minorHAnsi" w:cstheme="minorHAnsi"/>
              </w:rPr>
              <w:t xml:space="preserve">Мне очень нравится эта история, и именно ее я хочу поместить в окончание этой главы. Борьба за справедливость всегда начинается с осведомленности. Как ты, наверное, уже поняла, проблема торговли людьми является невероятно важной частью истории Сестринства. Официальные власти заявляют о том, что торговля людьми – это вторая по величине криминальная индустрия после наркоторговли. Этот бизнес настолько большой, как и поставка нелегального оружия, и с каждым годом он процветает все больше. Печально, но я не уверена, что когда-либо удастся полностью искоренить эту проблему. </w:t>
            </w:r>
            <w:r w:rsidR="0006289B" w:rsidRPr="0006289B">
              <w:rPr>
                <w:rFonts w:asciiTheme="minorHAnsi" w:hAnsiTheme="minorHAnsi" w:cstheme="minorHAnsi"/>
              </w:rPr>
              <w:t xml:space="preserve">И небывалая </w:t>
            </w:r>
            <w:proofErr w:type="gramStart"/>
            <w:r w:rsidR="0006289B" w:rsidRPr="0006289B">
              <w:rPr>
                <w:rFonts w:asciiTheme="minorHAnsi" w:hAnsiTheme="minorHAnsi" w:cstheme="minorHAnsi"/>
              </w:rPr>
              <w:t>раннее</w:t>
            </w:r>
            <w:proofErr w:type="gramEnd"/>
            <w:r w:rsidR="0006289B" w:rsidRPr="0006289B">
              <w:rPr>
                <w:rFonts w:asciiTheme="minorHAnsi" w:hAnsiTheme="minorHAnsi" w:cstheme="minorHAnsi"/>
              </w:rPr>
              <w:t xml:space="preserve"> миграция людей из охваченных бедствиями стран только способствует процветанию работорговли. Тем не менее, масштаб этого вопроса не должен останавливать нас в борьбе за одного человека, которого можно спасти. Осведомленность, предотвращение, обучение, спасение и привлечение к ответственности являются нашей стратегией. В этой истории осведомленность ускорила процесс спасения. </w:t>
            </w:r>
          </w:p>
        </w:tc>
      </w:tr>
    </w:tbl>
    <w:p w:rsidR="00D82EAB" w:rsidRPr="00FD41DF" w:rsidRDefault="00D82EAB">
      <w:pPr>
        <w:rPr>
          <w:rFonts w:cstheme="minorHAnsi"/>
          <w:sz w:val="24"/>
          <w:szCs w:val="24"/>
        </w:rPr>
      </w:pPr>
    </w:p>
    <w:sectPr w:rsidR="00D82EAB" w:rsidRPr="00FD41DF" w:rsidSect="003F34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83388"/>
    <w:multiLevelType w:val="multilevel"/>
    <w:tmpl w:val="BB7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36AA"/>
    <w:rsid w:val="0006289B"/>
    <w:rsid w:val="00087921"/>
    <w:rsid w:val="000C1402"/>
    <w:rsid w:val="0035449B"/>
    <w:rsid w:val="003F3490"/>
    <w:rsid w:val="00675731"/>
    <w:rsid w:val="00787889"/>
    <w:rsid w:val="007C40F6"/>
    <w:rsid w:val="007F1A04"/>
    <w:rsid w:val="008674D8"/>
    <w:rsid w:val="009C36AA"/>
    <w:rsid w:val="00C466BE"/>
    <w:rsid w:val="00D64FAE"/>
    <w:rsid w:val="00D82EAB"/>
    <w:rsid w:val="00FD4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4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36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1eee4e5f0e6e8eceee5f2e0e1ebe8f6fb">
    <w:name w:val="Сd1оeeдe4еe5рf0жe6иe8мecоeeеe5 тf2аe0бe1лebиe8цf6ыfb"/>
    <w:basedOn w:val="a"/>
    <w:uiPriority w:val="99"/>
    <w:rsid w:val="009C36AA"/>
    <w:pPr>
      <w:widowControl w:val="0"/>
      <w:autoSpaceDE w:val="0"/>
      <w:autoSpaceDN w:val="0"/>
      <w:adjustRightInd w:val="0"/>
      <w:spacing w:after="0" w:line="240" w:lineRule="auto"/>
    </w:pPr>
    <w:rPr>
      <w:rFonts w:ascii="Liberation Serif" w:eastAsia="Times New Roman" w:hAnsi="Liberation Serif" w:cs="Liberation Serif"/>
      <w:color w:val="000000"/>
      <w:kern w:val="1"/>
      <w:sz w:val="24"/>
      <w:szCs w:val="24"/>
      <w:lang w:bidi="hi-IN"/>
    </w:rPr>
  </w:style>
  <w:style w:type="paragraph" w:styleId="a4">
    <w:name w:val="Normal (Web)"/>
    <w:basedOn w:val="a"/>
    <w:uiPriority w:val="99"/>
    <w:semiHidden/>
    <w:unhideWhenUsed/>
    <w:rsid w:val="007C40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1691176">
      <w:bodyDiv w:val="1"/>
      <w:marLeft w:val="0"/>
      <w:marRight w:val="0"/>
      <w:marTop w:val="0"/>
      <w:marBottom w:val="0"/>
      <w:divBdr>
        <w:top w:val="none" w:sz="0" w:space="0" w:color="auto"/>
        <w:left w:val="none" w:sz="0" w:space="0" w:color="auto"/>
        <w:bottom w:val="none" w:sz="0" w:space="0" w:color="auto"/>
        <w:right w:val="none" w:sz="0" w:space="0" w:color="auto"/>
      </w:divBdr>
    </w:div>
    <w:div w:id="20468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view.elucidat.com/preview/course/57b1be94a5010/57a833e4de89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view.elucidat.com/preview/course/57b1be94a5010/57a833e4de89e" TargetMode="External"/><Relationship Id="rId5" Type="http://schemas.openxmlformats.org/officeDocument/2006/relationships/hyperlink" Target="https://preview.elucidat.com/preview/course/57b1be94a5010/57a833e4de89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724</Words>
  <Characters>4131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12</cp:revision>
  <dcterms:created xsi:type="dcterms:W3CDTF">2016-11-29T10:01:00Z</dcterms:created>
  <dcterms:modified xsi:type="dcterms:W3CDTF">2016-12-01T10:06:00Z</dcterms:modified>
</cp:coreProperties>
</file>